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FD8A6" w14:textId="77777777" w:rsidR="00BC7646" w:rsidRDefault="00BC7646">
      <w:pPr>
        <w:adjustRightInd w:val="0"/>
        <w:snapToGrid w:val="0"/>
        <w:spacing w:line="360" w:lineRule="auto"/>
        <w:jc w:val="center"/>
        <w:rPr>
          <w:rFonts w:cs="Arial"/>
          <w:sz w:val="24"/>
        </w:rPr>
      </w:pPr>
      <w:bookmarkStart w:id="0" w:name="CTS_9a9f378565b04160aca929667d2d105f"/>
      <w:bookmarkStart w:id="1" w:name="CLAUSE_9a9f378565b04160aca929667d2d105f"/>
      <w:bookmarkEnd w:id="0"/>
    </w:p>
    <w:p w14:paraId="74D70F13" w14:textId="77777777" w:rsidR="00BC7646" w:rsidRDefault="00BC7646">
      <w:pPr>
        <w:adjustRightInd w:val="0"/>
        <w:snapToGrid w:val="0"/>
        <w:spacing w:line="360" w:lineRule="auto"/>
        <w:jc w:val="center"/>
        <w:rPr>
          <w:rFonts w:cs="Arial"/>
          <w:sz w:val="24"/>
        </w:rPr>
      </w:pPr>
    </w:p>
    <w:p w14:paraId="796A43A2" w14:textId="77777777" w:rsidR="00BC7646" w:rsidRDefault="00BC7646">
      <w:pPr>
        <w:adjustRightInd w:val="0"/>
        <w:snapToGrid w:val="0"/>
        <w:spacing w:line="360" w:lineRule="auto"/>
        <w:jc w:val="center"/>
        <w:rPr>
          <w:rFonts w:cs="Arial"/>
          <w:sz w:val="24"/>
        </w:rPr>
      </w:pPr>
    </w:p>
    <w:p w14:paraId="7CB1A83E" w14:textId="77777777" w:rsidR="00BC7646" w:rsidRDefault="00BC7646">
      <w:pPr>
        <w:adjustRightInd w:val="0"/>
        <w:snapToGrid w:val="0"/>
        <w:spacing w:line="360" w:lineRule="auto"/>
        <w:jc w:val="center"/>
        <w:rPr>
          <w:rFonts w:cs="Arial"/>
          <w:sz w:val="24"/>
        </w:rPr>
      </w:pPr>
    </w:p>
    <w:p w14:paraId="46903F3F" w14:textId="77777777" w:rsidR="00BC7646" w:rsidRDefault="00BC7646">
      <w:pPr>
        <w:adjustRightInd w:val="0"/>
        <w:snapToGrid w:val="0"/>
        <w:spacing w:line="360" w:lineRule="auto"/>
        <w:jc w:val="center"/>
        <w:rPr>
          <w:rFonts w:cs="Arial"/>
          <w:sz w:val="24"/>
        </w:rPr>
      </w:pPr>
    </w:p>
    <w:p w14:paraId="26D71CF2" w14:textId="77777777" w:rsidR="00BC7646" w:rsidRDefault="00BC7646">
      <w:pPr>
        <w:adjustRightInd w:val="0"/>
        <w:snapToGrid w:val="0"/>
        <w:spacing w:line="360" w:lineRule="auto"/>
        <w:jc w:val="center"/>
        <w:rPr>
          <w:rFonts w:cs="Arial"/>
          <w:sz w:val="24"/>
        </w:rPr>
      </w:pPr>
    </w:p>
    <w:p w14:paraId="257E2737" w14:textId="77777777" w:rsidR="00BC7646" w:rsidRDefault="00000000">
      <w:pPr>
        <w:spacing w:line="360" w:lineRule="auto"/>
        <w:jc w:val="center"/>
        <w:rPr>
          <w:rFonts w:hAnsi="宋体"/>
          <w:b/>
          <w:sz w:val="48"/>
          <w:szCs w:val="48"/>
        </w:rPr>
      </w:pPr>
      <w:r>
        <w:rPr>
          <w:rFonts w:hAnsi="宋体" w:hint="eastAsia"/>
          <w:b/>
          <w:sz w:val="48"/>
          <w:szCs w:val="48"/>
        </w:rPr>
        <w:t>兴华</w:t>
      </w:r>
      <w:proofErr w:type="gramStart"/>
      <w:r>
        <w:rPr>
          <w:rFonts w:hAnsi="宋体" w:hint="eastAsia"/>
          <w:b/>
          <w:sz w:val="48"/>
          <w:szCs w:val="48"/>
        </w:rPr>
        <w:t>安聚纯债</w:t>
      </w:r>
      <w:proofErr w:type="gramEnd"/>
      <w:r>
        <w:rPr>
          <w:rFonts w:hAnsi="宋体" w:hint="eastAsia"/>
          <w:b/>
          <w:sz w:val="48"/>
          <w:szCs w:val="48"/>
        </w:rPr>
        <w:t>债券型证券投资基金</w:t>
      </w:r>
    </w:p>
    <w:p w14:paraId="73B31E67" w14:textId="5D26172A" w:rsidR="00BC7646" w:rsidRDefault="00000000">
      <w:pPr>
        <w:spacing w:line="360" w:lineRule="auto"/>
        <w:jc w:val="center"/>
        <w:rPr>
          <w:rFonts w:hAnsi="宋体"/>
          <w:b/>
          <w:sz w:val="48"/>
          <w:szCs w:val="48"/>
        </w:rPr>
      </w:pPr>
      <w:r>
        <w:rPr>
          <w:rFonts w:hAnsi="宋体"/>
          <w:b/>
          <w:sz w:val="48"/>
          <w:szCs w:val="48"/>
        </w:rPr>
        <w:t>托管协议</w:t>
      </w:r>
    </w:p>
    <w:p w14:paraId="39A242D0" w14:textId="77777777" w:rsidR="00BC7646" w:rsidRDefault="00BC7646">
      <w:pPr>
        <w:adjustRightInd w:val="0"/>
        <w:snapToGrid w:val="0"/>
        <w:spacing w:line="360" w:lineRule="auto"/>
        <w:jc w:val="center"/>
        <w:rPr>
          <w:rFonts w:cs="Arial"/>
          <w:sz w:val="24"/>
        </w:rPr>
      </w:pPr>
    </w:p>
    <w:p w14:paraId="20EA06E6" w14:textId="77777777" w:rsidR="00BC7646" w:rsidRDefault="00BC7646">
      <w:pPr>
        <w:adjustRightInd w:val="0"/>
        <w:snapToGrid w:val="0"/>
        <w:spacing w:line="360" w:lineRule="auto"/>
        <w:jc w:val="center"/>
        <w:rPr>
          <w:rFonts w:cs="Arial"/>
          <w:sz w:val="24"/>
        </w:rPr>
      </w:pPr>
    </w:p>
    <w:p w14:paraId="4D175728" w14:textId="77777777" w:rsidR="00BC7646" w:rsidRDefault="00BC7646">
      <w:pPr>
        <w:adjustRightInd w:val="0"/>
        <w:snapToGrid w:val="0"/>
        <w:spacing w:line="360" w:lineRule="auto"/>
        <w:jc w:val="center"/>
        <w:rPr>
          <w:rFonts w:cs="Arial"/>
          <w:sz w:val="24"/>
        </w:rPr>
      </w:pPr>
    </w:p>
    <w:p w14:paraId="13777CD0" w14:textId="77777777" w:rsidR="00BC7646" w:rsidRDefault="00BC7646">
      <w:pPr>
        <w:adjustRightInd w:val="0"/>
        <w:snapToGrid w:val="0"/>
        <w:spacing w:line="360" w:lineRule="auto"/>
        <w:jc w:val="center"/>
        <w:rPr>
          <w:rFonts w:cs="Arial"/>
          <w:sz w:val="24"/>
        </w:rPr>
      </w:pPr>
    </w:p>
    <w:p w14:paraId="69FC04E3" w14:textId="77777777" w:rsidR="00BC7646" w:rsidRDefault="00BC7646">
      <w:pPr>
        <w:adjustRightInd w:val="0"/>
        <w:snapToGrid w:val="0"/>
        <w:spacing w:line="360" w:lineRule="auto"/>
        <w:jc w:val="center"/>
        <w:rPr>
          <w:rFonts w:cs="Arial"/>
          <w:sz w:val="24"/>
        </w:rPr>
      </w:pPr>
    </w:p>
    <w:p w14:paraId="045463B1" w14:textId="77777777" w:rsidR="00BC7646" w:rsidRDefault="00BC7646">
      <w:pPr>
        <w:adjustRightInd w:val="0"/>
        <w:snapToGrid w:val="0"/>
        <w:spacing w:line="360" w:lineRule="auto"/>
        <w:jc w:val="center"/>
        <w:rPr>
          <w:rFonts w:cs="Arial"/>
          <w:sz w:val="24"/>
        </w:rPr>
      </w:pPr>
    </w:p>
    <w:p w14:paraId="34812E01" w14:textId="77777777" w:rsidR="00BC7646" w:rsidRDefault="00BC7646">
      <w:pPr>
        <w:adjustRightInd w:val="0"/>
        <w:snapToGrid w:val="0"/>
        <w:spacing w:line="360" w:lineRule="auto"/>
        <w:jc w:val="center"/>
        <w:rPr>
          <w:rFonts w:cs="Arial"/>
          <w:sz w:val="24"/>
        </w:rPr>
      </w:pPr>
    </w:p>
    <w:p w14:paraId="5ACEB8C0" w14:textId="77777777" w:rsidR="00BC7646" w:rsidRDefault="00BC7646">
      <w:pPr>
        <w:adjustRightInd w:val="0"/>
        <w:snapToGrid w:val="0"/>
        <w:spacing w:line="360" w:lineRule="auto"/>
        <w:jc w:val="center"/>
        <w:rPr>
          <w:rFonts w:cs="Arial"/>
          <w:sz w:val="24"/>
        </w:rPr>
      </w:pPr>
    </w:p>
    <w:p w14:paraId="4792762A" w14:textId="77777777" w:rsidR="00BC7646" w:rsidRDefault="00BC7646">
      <w:pPr>
        <w:adjustRightInd w:val="0"/>
        <w:snapToGrid w:val="0"/>
        <w:spacing w:line="360" w:lineRule="auto"/>
        <w:jc w:val="center"/>
        <w:rPr>
          <w:rFonts w:cs="Arial"/>
          <w:sz w:val="24"/>
        </w:rPr>
      </w:pPr>
    </w:p>
    <w:p w14:paraId="58CC0FFC" w14:textId="77777777" w:rsidR="00BC7646" w:rsidRDefault="00BC7646">
      <w:pPr>
        <w:adjustRightInd w:val="0"/>
        <w:snapToGrid w:val="0"/>
        <w:spacing w:line="360" w:lineRule="auto"/>
        <w:jc w:val="center"/>
        <w:rPr>
          <w:rFonts w:cs="Arial"/>
          <w:sz w:val="24"/>
        </w:rPr>
      </w:pPr>
    </w:p>
    <w:p w14:paraId="278E1183" w14:textId="77777777" w:rsidR="00BC7646" w:rsidRDefault="00BC7646">
      <w:pPr>
        <w:adjustRightInd w:val="0"/>
        <w:snapToGrid w:val="0"/>
        <w:spacing w:line="360" w:lineRule="auto"/>
        <w:jc w:val="center"/>
        <w:rPr>
          <w:rFonts w:cs="Arial"/>
          <w:sz w:val="24"/>
        </w:rPr>
      </w:pPr>
    </w:p>
    <w:p w14:paraId="104295B3" w14:textId="77777777" w:rsidR="00BC7646" w:rsidRDefault="00BC7646">
      <w:pPr>
        <w:adjustRightInd w:val="0"/>
        <w:snapToGrid w:val="0"/>
        <w:spacing w:line="360" w:lineRule="auto"/>
        <w:jc w:val="center"/>
        <w:rPr>
          <w:rFonts w:cs="Arial"/>
          <w:sz w:val="24"/>
        </w:rPr>
      </w:pPr>
    </w:p>
    <w:p w14:paraId="6575B5F6" w14:textId="77777777" w:rsidR="00BC7646" w:rsidRDefault="00000000">
      <w:pPr>
        <w:spacing w:line="360" w:lineRule="auto"/>
        <w:jc w:val="center"/>
        <w:rPr>
          <w:b/>
          <w:bCs/>
          <w:sz w:val="32"/>
          <w:szCs w:val="32"/>
        </w:rPr>
      </w:pPr>
      <w:r>
        <w:rPr>
          <w:rFonts w:hAnsi="宋体"/>
          <w:b/>
          <w:bCs/>
          <w:sz w:val="32"/>
          <w:szCs w:val="32"/>
        </w:rPr>
        <w:t>基金管理人：</w:t>
      </w:r>
      <w:r>
        <w:rPr>
          <w:rFonts w:hAnsi="宋体" w:hint="eastAsia"/>
          <w:b/>
          <w:bCs/>
          <w:sz w:val="32"/>
          <w:szCs w:val="32"/>
        </w:rPr>
        <w:t>兴华基金管理有限公司</w:t>
      </w:r>
    </w:p>
    <w:p w14:paraId="6FD29893" w14:textId="77777777" w:rsidR="00BC7646" w:rsidRDefault="00000000">
      <w:pPr>
        <w:spacing w:line="360" w:lineRule="auto"/>
        <w:jc w:val="center"/>
        <w:rPr>
          <w:b/>
          <w:bCs/>
          <w:sz w:val="32"/>
          <w:szCs w:val="32"/>
        </w:rPr>
      </w:pPr>
      <w:r>
        <w:rPr>
          <w:rFonts w:hAnsi="宋体"/>
          <w:b/>
          <w:bCs/>
          <w:sz w:val="32"/>
          <w:szCs w:val="32"/>
        </w:rPr>
        <w:t>基金托管人：</w:t>
      </w:r>
      <w:r>
        <w:rPr>
          <w:rFonts w:hAnsi="宋体" w:hint="eastAsia"/>
          <w:b/>
          <w:bCs/>
          <w:sz w:val="32"/>
          <w:szCs w:val="32"/>
        </w:rPr>
        <w:t>恒丰银行</w:t>
      </w:r>
      <w:r>
        <w:rPr>
          <w:rFonts w:hAnsi="宋体"/>
          <w:b/>
          <w:bCs/>
          <w:sz w:val="32"/>
          <w:szCs w:val="32"/>
        </w:rPr>
        <w:t>股份有限公司</w:t>
      </w:r>
    </w:p>
    <w:p w14:paraId="7D34230E" w14:textId="77777777" w:rsidR="00BC7646" w:rsidRDefault="00BC7646">
      <w:pPr>
        <w:adjustRightInd w:val="0"/>
        <w:snapToGrid w:val="0"/>
        <w:spacing w:line="360" w:lineRule="auto"/>
        <w:jc w:val="center"/>
        <w:rPr>
          <w:rFonts w:cs="Arial"/>
          <w:sz w:val="24"/>
        </w:rPr>
      </w:pPr>
    </w:p>
    <w:p w14:paraId="5431C067" w14:textId="77777777" w:rsidR="00BC7646" w:rsidRDefault="00BC7646">
      <w:pPr>
        <w:adjustRightInd w:val="0"/>
        <w:snapToGrid w:val="0"/>
        <w:spacing w:line="360" w:lineRule="auto"/>
        <w:rPr>
          <w:sz w:val="24"/>
        </w:rPr>
      </w:pPr>
    </w:p>
    <w:p w14:paraId="13AF140D" w14:textId="77777777" w:rsidR="00BC7646" w:rsidRDefault="00BC7646">
      <w:pPr>
        <w:adjustRightInd w:val="0"/>
        <w:snapToGrid w:val="0"/>
        <w:spacing w:line="360" w:lineRule="auto"/>
        <w:rPr>
          <w:sz w:val="24"/>
        </w:rPr>
      </w:pPr>
    </w:p>
    <w:bookmarkEnd w:id="1"/>
    <w:p w14:paraId="3EA0E807" w14:textId="77777777" w:rsidR="00BC7646" w:rsidRDefault="00BC7646">
      <w:pPr>
        <w:adjustRightInd w:val="0"/>
        <w:snapToGrid w:val="0"/>
        <w:spacing w:line="360" w:lineRule="auto"/>
        <w:rPr>
          <w:rFonts w:cs="Arial"/>
          <w:bCs/>
          <w:sz w:val="24"/>
        </w:rPr>
        <w:sectPr w:rsidR="00BC7646">
          <w:headerReference w:type="default" r:id="rId8"/>
          <w:footerReference w:type="even" r:id="rId9"/>
          <w:type w:val="continuous"/>
          <w:pgSz w:w="11906" w:h="16838"/>
          <w:pgMar w:top="1440" w:right="1800" w:bottom="1440" w:left="1800" w:header="851" w:footer="992" w:gutter="0"/>
          <w:cols w:space="720"/>
          <w:docGrid w:type="lines" w:linePitch="312"/>
        </w:sectPr>
      </w:pPr>
    </w:p>
    <w:p w14:paraId="3DF21BF3" w14:textId="77777777" w:rsidR="00BC7646" w:rsidRDefault="00000000">
      <w:pPr>
        <w:adjustRightInd w:val="0"/>
        <w:snapToGrid w:val="0"/>
        <w:spacing w:line="360" w:lineRule="auto"/>
        <w:rPr>
          <w:rFonts w:cs="Arial"/>
          <w:bCs/>
          <w:sz w:val="24"/>
        </w:rPr>
      </w:pPr>
      <w:bookmarkStart w:id="2" w:name="CLAUSE_0096894843844425a3e8adf1da8ce564"/>
      <w:r>
        <w:rPr>
          <w:sz w:val="24"/>
        </w:rPr>
        <w:lastRenderedPageBreak/>
        <w:t xml:space="preserve"> </w:t>
      </w:r>
      <w:bookmarkStart w:id="3" w:name="CTS_0096894843844425a3e8adf1da8ce564"/>
      <w:bookmarkEnd w:id="3"/>
    </w:p>
    <w:p w14:paraId="0C271717" w14:textId="77777777" w:rsidR="00BC7646" w:rsidRDefault="00000000">
      <w:pPr>
        <w:spacing w:line="360" w:lineRule="auto"/>
        <w:jc w:val="center"/>
        <w:rPr>
          <w:noProof/>
        </w:rPr>
      </w:pPr>
      <w:r>
        <w:rPr>
          <w:rFonts w:hint="eastAsia"/>
          <w:b/>
          <w:bCs/>
          <w:sz w:val="32"/>
        </w:rPr>
        <w:t>目</w:t>
      </w:r>
      <w:r>
        <w:rPr>
          <w:rFonts w:hint="eastAsia"/>
          <w:b/>
          <w:bCs/>
          <w:sz w:val="32"/>
        </w:rPr>
        <w:t xml:space="preserve">   </w:t>
      </w:r>
      <w:r>
        <w:rPr>
          <w:rFonts w:hint="eastAsia"/>
          <w:b/>
          <w:bCs/>
          <w:sz w:val="32"/>
        </w:rPr>
        <w:t>录</w:t>
      </w:r>
      <w:r>
        <w:rPr>
          <w:sz w:val="24"/>
        </w:rPr>
        <w:fldChar w:fldCharType="begin"/>
      </w:r>
      <w:r>
        <w:rPr>
          <w:sz w:val="24"/>
        </w:rPr>
        <w:instrText xml:space="preserve"> TOC \o "1-2" \h \z </w:instrText>
      </w:r>
      <w:r>
        <w:rPr>
          <w:sz w:val="24"/>
        </w:rPr>
        <w:fldChar w:fldCharType="separate"/>
      </w:r>
    </w:p>
    <w:p w14:paraId="52AD90B7" w14:textId="026BD504" w:rsidR="00BC7646" w:rsidRDefault="00000000">
      <w:pPr>
        <w:pStyle w:val="TOC2"/>
        <w:rPr>
          <w:rFonts w:asciiTheme="minorHAnsi" w:eastAsiaTheme="minorEastAsia" w:hAnsiTheme="minorHAnsi" w:cstheme="minorBidi"/>
          <w:noProof/>
          <w:szCs w:val="22"/>
        </w:rPr>
      </w:pPr>
      <w:hyperlink w:anchor="_Toc69371523" w:history="1">
        <w:r>
          <w:rPr>
            <w:rStyle w:val="af8"/>
            <w:rFonts w:ascii="Times New Roman" w:hAnsi="Times New Roman"/>
            <w:noProof/>
          </w:rPr>
          <w:t>一、基金托管协议当事人</w:t>
        </w:r>
        <w:r>
          <w:rPr>
            <w:noProof/>
          </w:rPr>
          <w:tab/>
        </w:r>
        <w:r>
          <w:rPr>
            <w:noProof/>
          </w:rPr>
          <w:fldChar w:fldCharType="begin"/>
        </w:r>
        <w:r>
          <w:rPr>
            <w:noProof/>
          </w:rPr>
          <w:instrText xml:space="preserve"> PAGEREF _Toc69371523 \h </w:instrText>
        </w:r>
        <w:r>
          <w:rPr>
            <w:noProof/>
          </w:rPr>
        </w:r>
        <w:r>
          <w:rPr>
            <w:noProof/>
          </w:rPr>
          <w:fldChar w:fldCharType="separate"/>
        </w:r>
        <w:r w:rsidR="005F7822">
          <w:rPr>
            <w:noProof/>
          </w:rPr>
          <w:t>4</w:t>
        </w:r>
        <w:r>
          <w:rPr>
            <w:noProof/>
          </w:rPr>
          <w:fldChar w:fldCharType="end"/>
        </w:r>
      </w:hyperlink>
    </w:p>
    <w:p w14:paraId="6795A1A2" w14:textId="53E27009" w:rsidR="00BC7646" w:rsidRDefault="00000000">
      <w:pPr>
        <w:pStyle w:val="TOC2"/>
        <w:rPr>
          <w:rFonts w:asciiTheme="minorHAnsi" w:eastAsiaTheme="minorEastAsia" w:hAnsiTheme="minorHAnsi" w:cstheme="minorBidi"/>
          <w:noProof/>
          <w:szCs w:val="22"/>
        </w:rPr>
      </w:pPr>
      <w:hyperlink w:anchor="_Toc69371524" w:history="1">
        <w:r>
          <w:rPr>
            <w:rStyle w:val="af8"/>
            <w:rFonts w:ascii="Times New Roman" w:hAnsi="Times New Roman"/>
            <w:noProof/>
          </w:rPr>
          <w:t>二、基金托管协议的依据、目的和原则</w:t>
        </w:r>
        <w:r>
          <w:rPr>
            <w:noProof/>
          </w:rPr>
          <w:tab/>
        </w:r>
        <w:r>
          <w:rPr>
            <w:noProof/>
          </w:rPr>
          <w:fldChar w:fldCharType="begin"/>
        </w:r>
        <w:r>
          <w:rPr>
            <w:noProof/>
          </w:rPr>
          <w:instrText xml:space="preserve"> PAGEREF _Toc69371524 \h </w:instrText>
        </w:r>
        <w:r>
          <w:rPr>
            <w:noProof/>
          </w:rPr>
        </w:r>
        <w:r>
          <w:rPr>
            <w:noProof/>
          </w:rPr>
          <w:fldChar w:fldCharType="separate"/>
        </w:r>
        <w:r w:rsidR="005F7822">
          <w:rPr>
            <w:noProof/>
          </w:rPr>
          <w:t>6</w:t>
        </w:r>
        <w:r>
          <w:rPr>
            <w:noProof/>
          </w:rPr>
          <w:fldChar w:fldCharType="end"/>
        </w:r>
      </w:hyperlink>
    </w:p>
    <w:p w14:paraId="7266A5EE" w14:textId="23E3BF3E" w:rsidR="00BC7646" w:rsidRDefault="00000000">
      <w:pPr>
        <w:pStyle w:val="TOC2"/>
        <w:rPr>
          <w:rFonts w:asciiTheme="minorHAnsi" w:eastAsiaTheme="minorEastAsia" w:hAnsiTheme="minorHAnsi" w:cstheme="minorBidi"/>
          <w:noProof/>
          <w:szCs w:val="22"/>
        </w:rPr>
      </w:pPr>
      <w:hyperlink w:anchor="_Toc69371525" w:history="1">
        <w:r>
          <w:rPr>
            <w:rStyle w:val="af8"/>
            <w:rFonts w:ascii="Times New Roman" w:hAnsi="Times New Roman"/>
            <w:noProof/>
          </w:rPr>
          <w:t>三、基金托管人对基金管理人的业务监督和核查</w:t>
        </w:r>
        <w:r>
          <w:rPr>
            <w:noProof/>
          </w:rPr>
          <w:tab/>
        </w:r>
        <w:r>
          <w:rPr>
            <w:noProof/>
          </w:rPr>
          <w:fldChar w:fldCharType="begin"/>
        </w:r>
        <w:r>
          <w:rPr>
            <w:noProof/>
          </w:rPr>
          <w:instrText xml:space="preserve"> PAGEREF _Toc69371525 \h </w:instrText>
        </w:r>
        <w:r>
          <w:rPr>
            <w:noProof/>
          </w:rPr>
        </w:r>
        <w:r>
          <w:rPr>
            <w:noProof/>
          </w:rPr>
          <w:fldChar w:fldCharType="separate"/>
        </w:r>
        <w:r w:rsidR="005F7822">
          <w:rPr>
            <w:noProof/>
          </w:rPr>
          <w:t>7</w:t>
        </w:r>
        <w:r>
          <w:rPr>
            <w:noProof/>
          </w:rPr>
          <w:fldChar w:fldCharType="end"/>
        </w:r>
      </w:hyperlink>
    </w:p>
    <w:p w14:paraId="66F892BF" w14:textId="0C40E442" w:rsidR="00BC7646" w:rsidRDefault="00000000">
      <w:pPr>
        <w:pStyle w:val="TOC2"/>
        <w:rPr>
          <w:rFonts w:asciiTheme="minorHAnsi" w:eastAsiaTheme="minorEastAsia" w:hAnsiTheme="minorHAnsi" w:cstheme="minorBidi"/>
          <w:noProof/>
          <w:szCs w:val="22"/>
        </w:rPr>
      </w:pPr>
      <w:hyperlink w:anchor="_Toc69371526" w:history="1">
        <w:r>
          <w:rPr>
            <w:rStyle w:val="af8"/>
            <w:rFonts w:ascii="Times New Roman" w:hAnsi="Times New Roman"/>
            <w:noProof/>
          </w:rPr>
          <w:t>四、基金管理人对基金托管人的业务核查</w:t>
        </w:r>
        <w:r>
          <w:rPr>
            <w:noProof/>
          </w:rPr>
          <w:tab/>
        </w:r>
        <w:r>
          <w:rPr>
            <w:noProof/>
          </w:rPr>
          <w:fldChar w:fldCharType="begin"/>
        </w:r>
        <w:r>
          <w:rPr>
            <w:noProof/>
          </w:rPr>
          <w:instrText xml:space="preserve"> PAGEREF _Toc69371526 \h </w:instrText>
        </w:r>
        <w:r>
          <w:rPr>
            <w:noProof/>
          </w:rPr>
        </w:r>
        <w:r>
          <w:rPr>
            <w:noProof/>
          </w:rPr>
          <w:fldChar w:fldCharType="separate"/>
        </w:r>
        <w:r w:rsidR="005F7822">
          <w:rPr>
            <w:noProof/>
          </w:rPr>
          <w:t>13</w:t>
        </w:r>
        <w:r>
          <w:rPr>
            <w:noProof/>
          </w:rPr>
          <w:fldChar w:fldCharType="end"/>
        </w:r>
      </w:hyperlink>
    </w:p>
    <w:p w14:paraId="692289D1" w14:textId="6E9FA2D9" w:rsidR="00BC7646" w:rsidRDefault="00000000">
      <w:pPr>
        <w:pStyle w:val="TOC2"/>
        <w:rPr>
          <w:rFonts w:asciiTheme="minorHAnsi" w:eastAsiaTheme="minorEastAsia" w:hAnsiTheme="minorHAnsi" w:cstheme="minorBidi"/>
          <w:noProof/>
          <w:szCs w:val="22"/>
        </w:rPr>
      </w:pPr>
      <w:hyperlink w:anchor="_Toc69371527" w:history="1">
        <w:r>
          <w:rPr>
            <w:rStyle w:val="af8"/>
            <w:rFonts w:ascii="Times New Roman" w:hAnsi="Times New Roman"/>
            <w:noProof/>
          </w:rPr>
          <w:t>五、基金财产的保管</w:t>
        </w:r>
        <w:r>
          <w:rPr>
            <w:noProof/>
          </w:rPr>
          <w:tab/>
        </w:r>
        <w:r>
          <w:rPr>
            <w:noProof/>
          </w:rPr>
          <w:fldChar w:fldCharType="begin"/>
        </w:r>
        <w:r>
          <w:rPr>
            <w:noProof/>
          </w:rPr>
          <w:instrText xml:space="preserve"> PAGEREF _Toc69371527 \h </w:instrText>
        </w:r>
        <w:r>
          <w:rPr>
            <w:noProof/>
          </w:rPr>
        </w:r>
        <w:r>
          <w:rPr>
            <w:noProof/>
          </w:rPr>
          <w:fldChar w:fldCharType="separate"/>
        </w:r>
        <w:r w:rsidR="005F7822">
          <w:rPr>
            <w:noProof/>
          </w:rPr>
          <w:t>14</w:t>
        </w:r>
        <w:r>
          <w:rPr>
            <w:noProof/>
          </w:rPr>
          <w:fldChar w:fldCharType="end"/>
        </w:r>
      </w:hyperlink>
    </w:p>
    <w:p w14:paraId="6D0E0E5C" w14:textId="4C4C1BCC" w:rsidR="00BC7646" w:rsidRDefault="00000000">
      <w:pPr>
        <w:pStyle w:val="TOC2"/>
        <w:rPr>
          <w:rFonts w:asciiTheme="minorHAnsi" w:eastAsiaTheme="minorEastAsia" w:hAnsiTheme="minorHAnsi" w:cstheme="minorBidi"/>
          <w:noProof/>
          <w:szCs w:val="22"/>
        </w:rPr>
      </w:pPr>
      <w:hyperlink w:anchor="_Toc69371528" w:history="1">
        <w:r>
          <w:rPr>
            <w:rStyle w:val="af8"/>
            <w:rFonts w:ascii="Times New Roman" w:hAnsi="Times New Roman"/>
            <w:noProof/>
          </w:rPr>
          <w:t>六、指令的发送、确认及执行</w:t>
        </w:r>
        <w:r>
          <w:rPr>
            <w:noProof/>
          </w:rPr>
          <w:tab/>
        </w:r>
        <w:r>
          <w:rPr>
            <w:noProof/>
          </w:rPr>
          <w:fldChar w:fldCharType="begin"/>
        </w:r>
        <w:r>
          <w:rPr>
            <w:noProof/>
          </w:rPr>
          <w:instrText xml:space="preserve"> PAGEREF _Toc69371528 \h </w:instrText>
        </w:r>
        <w:r>
          <w:rPr>
            <w:noProof/>
          </w:rPr>
        </w:r>
        <w:r>
          <w:rPr>
            <w:noProof/>
          </w:rPr>
          <w:fldChar w:fldCharType="separate"/>
        </w:r>
        <w:r w:rsidR="005F7822">
          <w:rPr>
            <w:noProof/>
          </w:rPr>
          <w:t>19</w:t>
        </w:r>
        <w:r>
          <w:rPr>
            <w:noProof/>
          </w:rPr>
          <w:fldChar w:fldCharType="end"/>
        </w:r>
      </w:hyperlink>
    </w:p>
    <w:p w14:paraId="4F49CDCA" w14:textId="29AE80C2" w:rsidR="00BC7646" w:rsidRDefault="00000000">
      <w:pPr>
        <w:pStyle w:val="TOC2"/>
        <w:rPr>
          <w:rFonts w:asciiTheme="minorHAnsi" w:eastAsiaTheme="minorEastAsia" w:hAnsiTheme="minorHAnsi" w:cstheme="minorBidi"/>
          <w:noProof/>
          <w:szCs w:val="22"/>
        </w:rPr>
      </w:pPr>
      <w:hyperlink w:anchor="_Toc69371529" w:history="1">
        <w:r>
          <w:rPr>
            <w:rStyle w:val="af8"/>
            <w:rFonts w:ascii="Times New Roman" w:hAnsi="Times New Roman"/>
            <w:noProof/>
          </w:rPr>
          <w:t>七、交易及清算交收安排</w:t>
        </w:r>
        <w:r>
          <w:rPr>
            <w:noProof/>
          </w:rPr>
          <w:tab/>
        </w:r>
        <w:r>
          <w:rPr>
            <w:noProof/>
          </w:rPr>
          <w:fldChar w:fldCharType="begin"/>
        </w:r>
        <w:r>
          <w:rPr>
            <w:noProof/>
          </w:rPr>
          <w:instrText xml:space="preserve"> PAGEREF _Toc69371529 \h </w:instrText>
        </w:r>
        <w:r>
          <w:rPr>
            <w:noProof/>
          </w:rPr>
        </w:r>
        <w:r>
          <w:rPr>
            <w:noProof/>
          </w:rPr>
          <w:fldChar w:fldCharType="separate"/>
        </w:r>
        <w:r w:rsidR="005F7822">
          <w:rPr>
            <w:noProof/>
          </w:rPr>
          <w:t>24</w:t>
        </w:r>
        <w:r>
          <w:rPr>
            <w:noProof/>
          </w:rPr>
          <w:fldChar w:fldCharType="end"/>
        </w:r>
      </w:hyperlink>
    </w:p>
    <w:p w14:paraId="5D68ADA6" w14:textId="410C2F07" w:rsidR="00BC7646" w:rsidRDefault="00000000">
      <w:pPr>
        <w:pStyle w:val="TOC2"/>
        <w:rPr>
          <w:rFonts w:asciiTheme="minorHAnsi" w:eastAsiaTheme="minorEastAsia" w:hAnsiTheme="minorHAnsi" w:cstheme="minorBidi"/>
          <w:noProof/>
          <w:szCs w:val="22"/>
        </w:rPr>
      </w:pPr>
      <w:hyperlink w:anchor="_Toc69371530" w:history="1">
        <w:r>
          <w:rPr>
            <w:rStyle w:val="af8"/>
            <w:rFonts w:ascii="Times New Roman" w:hAnsi="Times New Roman"/>
            <w:noProof/>
          </w:rPr>
          <w:t>八、基金资产净值计算、估值和会计核算</w:t>
        </w:r>
        <w:r>
          <w:rPr>
            <w:noProof/>
          </w:rPr>
          <w:tab/>
        </w:r>
        <w:r>
          <w:rPr>
            <w:noProof/>
          </w:rPr>
          <w:fldChar w:fldCharType="begin"/>
        </w:r>
        <w:r>
          <w:rPr>
            <w:noProof/>
          </w:rPr>
          <w:instrText xml:space="preserve"> PAGEREF _Toc69371530 \h </w:instrText>
        </w:r>
        <w:r>
          <w:rPr>
            <w:noProof/>
          </w:rPr>
        </w:r>
        <w:r>
          <w:rPr>
            <w:noProof/>
          </w:rPr>
          <w:fldChar w:fldCharType="separate"/>
        </w:r>
        <w:r w:rsidR="005F7822">
          <w:rPr>
            <w:noProof/>
          </w:rPr>
          <w:t>28</w:t>
        </w:r>
        <w:r>
          <w:rPr>
            <w:noProof/>
          </w:rPr>
          <w:fldChar w:fldCharType="end"/>
        </w:r>
      </w:hyperlink>
    </w:p>
    <w:p w14:paraId="13DAAF65" w14:textId="231CA46E" w:rsidR="00BC7646" w:rsidRDefault="00000000">
      <w:pPr>
        <w:pStyle w:val="TOC2"/>
        <w:rPr>
          <w:rFonts w:asciiTheme="minorHAnsi" w:eastAsiaTheme="minorEastAsia" w:hAnsiTheme="minorHAnsi" w:cstheme="minorBidi"/>
          <w:noProof/>
          <w:szCs w:val="22"/>
        </w:rPr>
      </w:pPr>
      <w:hyperlink w:anchor="_Toc69371531" w:history="1">
        <w:r>
          <w:rPr>
            <w:rStyle w:val="af8"/>
            <w:rFonts w:ascii="Times New Roman" w:hAnsi="Times New Roman"/>
            <w:noProof/>
          </w:rPr>
          <w:t>九、基金收益分配</w:t>
        </w:r>
        <w:r>
          <w:rPr>
            <w:noProof/>
          </w:rPr>
          <w:tab/>
        </w:r>
        <w:r>
          <w:rPr>
            <w:noProof/>
          </w:rPr>
          <w:fldChar w:fldCharType="begin"/>
        </w:r>
        <w:r>
          <w:rPr>
            <w:noProof/>
          </w:rPr>
          <w:instrText xml:space="preserve"> PAGEREF _Toc69371531 \h </w:instrText>
        </w:r>
        <w:r>
          <w:rPr>
            <w:noProof/>
          </w:rPr>
        </w:r>
        <w:r>
          <w:rPr>
            <w:noProof/>
          </w:rPr>
          <w:fldChar w:fldCharType="separate"/>
        </w:r>
        <w:r w:rsidR="005F7822">
          <w:rPr>
            <w:noProof/>
          </w:rPr>
          <w:t>30</w:t>
        </w:r>
        <w:r>
          <w:rPr>
            <w:noProof/>
          </w:rPr>
          <w:fldChar w:fldCharType="end"/>
        </w:r>
      </w:hyperlink>
    </w:p>
    <w:p w14:paraId="4787735B" w14:textId="5D33E67F" w:rsidR="00BC7646" w:rsidRDefault="00000000">
      <w:pPr>
        <w:pStyle w:val="TOC2"/>
        <w:rPr>
          <w:rFonts w:asciiTheme="minorHAnsi" w:eastAsiaTheme="minorEastAsia" w:hAnsiTheme="minorHAnsi" w:cstheme="minorBidi"/>
          <w:noProof/>
          <w:szCs w:val="22"/>
        </w:rPr>
      </w:pPr>
      <w:hyperlink w:anchor="_Toc69371532" w:history="1">
        <w:r>
          <w:rPr>
            <w:rStyle w:val="af8"/>
            <w:rFonts w:ascii="Times New Roman" w:hAnsi="Times New Roman"/>
            <w:noProof/>
          </w:rPr>
          <w:t>十、基金信息披露</w:t>
        </w:r>
        <w:r>
          <w:rPr>
            <w:noProof/>
          </w:rPr>
          <w:tab/>
        </w:r>
        <w:r>
          <w:rPr>
            <w:noProof/>
          </w:rPr>
          <w:fldChar w:fldCharType="begin"/>
        </w:r>
        <w:r>
          <w:rPr>
            <w:noProof/>
          </w:rPr>
          <w:instrText xml:space="preserve"> PAGEREF _Toc69371532 \h </w:instrText>
        </w:r>
        <w:r>
          <w:rPr>
            <w:noProof/>
          </w:rPr>
        </w:r>
        <w:r>
          <w:rPr>
            <w:noProof/>
          </w:rPr>
          <w:fldChar w:fldCharType="separate"/>
        </w:r>
        <w:r w:rsidR="005F7822">
          <w:rPr>
            <w:noProof/>
          </w:rPr>
          <w:t>31</w:t>
        </w:r>
        <w:r>
          <w:rPr>
            <w:noProof/>
          </w:rPr>
          <w:fldChar w:fldCharType="end"/>
        </w:r>
      </w:hyperlink>
    </w:p>
    <w:p w14:paraId="326156B5" w14:textId="4986DDD2" w:rsidR="00BC7646" w:rsidRDefault="00000000">
      <w:pPr>
        <w:pStyle w:val="TOC2"/>
        <w:rPr>
          <w:rFonts w:asciiTheme="minorHAnsi" w:eastAsiaTheme="minorEastAsia" w:hAnsiTheme="minorHAnsi" w:cstheme="minorBidi"/>
          <w:noProof/>
          <w:szCs w:val="22"/>
        </w:rPr>
      </w:pPr>
      <w:hyperlink w:anchor="_Toc69371533" w:history="1">
        <w:r>
          <w:rPr>
            <w:rStyle w:val="af8"/>
            <w:rFonts w:ascii="Times New Roman" w:hAnsi="Times New Roman"/>
            <w:noProof/>
          </w:rPr>
          <w:t>十一、基金费用</w:t>
        </w:r>
        <w:r>
          <w:rPr>
            <w:noProof/>
          </w:rPr>
          <w:tab/>
        </w:r>
        <w:r>
          <w:rPr>
            <w:noProof/>
          </w:rPr>
          <w:fldChar w:fldCharType="begin"/>
        </w:r>
        <w:r>
          <w:rPr>
            <w:noProof/>
          </w:rPr>
          <w:instrText xml:space="preserve"> PAGEREF _Toc69371533 \h </w:instrText>
        </w:r>
        <w:r>
          <w:rPr>
            <w:noProof/>
          </w:rPr>
        </w:r>
        <w:r>
          <w:rPr>
            <w:noProof/>
          </w:rPr>
          <w:fldChar w:fldCharType="separate"/>
        </w:r>
        <w:r w:rsidR="005F7822">
          <w:rPr>
            <w:noProof/>
          </w:rPr>
          <w:t>33</w:t>
        </w:r>
        <w:r>
          <w:rPr>
            <w:noProof/>
          </w:rPr>
          <w:fldChar w:fldCharType="end"/>
        </w:r>
      </w:hyperlink>
    </w:p>
    <w:p w14:paraId="5B481FC4" w14:textId="3CF117D5" w:rsidR="00BC7646" w:rsidRDefault="00000000">
      <w:pPr>
        <w:pStyle w:val="TOC2"/>
        <w:rPr>
          <w:rFonts w:asciiTheme="minorHAnsi" w:eastAsiaTheme="minorEastAsia" w:hAnsiTheme="minorHAnsi" w:cstheme="minorBidi"/>
          <w:noProof/>
          <w:szCs w:val="22"/>
        </w:rPr>
      </w:pPr>
      <w:hyperlink w:anchor="_Toc69371534" w:history="1">
        <w:r>
          <w:rPr>
            <w:rStyle w:val="af8"/>
            <w:rFonts w:ascii="Times New Roman" w:hAnsi="Times New Roman"/>
            <w:noProof/>
          </w:rPr>
          <w:t>十二、基金份额持有人名册的保管</w:t>
        </w:r>
        <w:r>
          <w:rPr>
            <w:noProof/>
          </w:rPr>
          <w:tab/>
        </w:r>
        <w:r>
          <w:rPr>
            <w:noProof/>
          </w:rPr>
          <w:fldChar w:fldCharType="begin"/>
        </w:r>
        <w:r>
          <w:rPr>
            <w:noProof/>
          </w:rPr>
          <w:instrText xml:space="preserve"> PAGEREF _Toc69371534 \h </w:instrText>
        </w:r>
        <w:r>
          <w:rPr>
            <w:noProof/>
          </w:rPr>
        </w:r>
        <w:r>
          <w:rPr>
            <w:noProof/>
          </w:rPr>
          <w:fldChar w:fldCharType="separate"/>
        </w:r>
        <w:r w:rsidR="005F7822">
          <w:rPr>
            <w:noProof/>
          </w:rPr>
          <w:t>35</w:t>
        </w:r>
        <w:r>
          <w:rPr>
            <w:noProof/>
          </w:rPr>
          <w:fldChar w:fldCharType="end"/>
        </w:r>
      </w:hyperlink>
    </w:p>
    <w:p w14:paraId="78F77D03" w14:textId="21808323" w:rsidR="00BC7646" w:rsidRDefault="00000000">
      <w:pPr>
        <w:pStyle w:val="TOC2"/>
        <w:rPr>
          <w:rFonts w:asciiTheme="minorHAnsi" w:eastAsiaTheme="minorEastAsia" w:hAnsiTheme="minorHAnsi" w:cstheme="minorBidi"/>
          <w:noProof/>
          <w:szCs w:val="22"/>
        </w:rPr>
      </w:pPr>
      <w:hyperlink w:anchor="_Toc69371535" w:history="1">
        <w:r>
          <w:rPr>
            <w:rStyle w:val="af8"/>
            <w:rFonts w:ascii="Times New Roman" w:hAnsi="Times New Roman"/>
            <w:noProof/>
          </w:rPr>
          <w:t>十三、基金有关文件档案的保存</w:t>
        </w:r>
        <w:r>
          <w:rPr>
            <w:noProof/>
          </w:rPr>
          <w:tab/>
        </w:r>
        <w:r>
          <w:rPr>
            <w:noProof/>
          </w:rPr>
          <w:fldChar w:fldCharType="begin"/>
        </w:r>
        <w:r>
          <w:rPr>
            <w:noProof/>
          </w:rPr>
          <w:instrText xml:space="preserve"> PAGEREF _Toc69371535 \h </w:instrText>
        </w:r>
        <w:r>
          <w:rPr>
            <w:noProof/>
          </w:rPr>
        </w:r>
        <w:r>
          <w:rPr>
            <w:noProof/>
          </w:rPr>
          <w:fldChar w:fldCharType="separate"/>
        </w:r>
        <w:r w:rsidR="005F7822">
          <w:rPr>
            <w:noProof/>
          </w:rPr>
          <w:t>36</w:t>
        </w:r>
        <w:r>
          <w:rPr>
            <w:noProof/>
          </w:rPr>
          <w:fldChar w:fldCharType="end"/>
        </w:r>
      </w:hyperlink>
    </w:p>
    <w:p w14:paraId="4983E1FD" w14:textId="07E35A4D" w:rsidR="00BC7646" w:rsidRDefault="00000000">
      <w:pPr>
        <w:pStyle w:val="TOC2"/>
        <w:rPr>
          <w:rFonts w:asciiTheme="minorHAnsi" w:eastAsiaTheme="minorEastAsia" w:hAnsiTheme="minorHAnsi" w:cstheme="minorBidi"/>
          <w:noProof/>
          <w:szCs w:val="22"/>
        </w:rPr>
      </w:pPr>
      <w:hyperlink w:anchor="_Toc69371536" w:history="1">
        <w:r>
          <w:rPr>
            <w:rStyle w:val="af8"/>
            <w:rFonts w:ascii="Times New Roman" w:hAnsi="Times New Roman"/>
            <w:noProof/>
          </w:rPr>
          <w:t>十四、基金管理人和基金托管人的更换</w:t>
        </w:r>
        <w:r>
          <w:rPr>
            <w:noProof/>
          </w:rPr>
          <w:tab/>
        </w:r>
        <w:r>
          <w:rPr>
            <w:noProof/>
          </w:rPr>
          <w:fldChar w:fldCharType="begin"/>
        </w:r>
        <w:r>
          <w:rPr>
            <w:noProof/>
          </w:rPr>
          <w:instrText xml:space="preserve"> PAGEREF _Toc69371536 \h </w:instrText>
        </w:r>
        <w:r>
          <w:rPr>
            <w:noProof/>
          </w:rPr>
        </w:r>
        <w:r>
          <w:rPr>
            <w:noProof/>
          </w:rPr>
          <w:fldChar w:fldCharType="separate"/>
        </w:r>
        <w:r w:rsidR="005F7822">
          <w:rPr>
            <w:noProof/>
          </w:rPr>
          <w:t>37</w:t>
        </w:r>
        <w:r>
          <w:rPr>
            <w:noProof/>
          </w:rPr>
          <w:fldChar w:fldCharType="end"/>
        </w:r>
      </w:hyperlink>
    </w:p>
    <w:p w14:paraId="6381712A" w14:textId="3E411130" w:rsidR="00BC7646" w:rsidRDefault="00000000">
      <w:pPr>
        <w:pStyle w:val="TOC2"/>
        <w:rPr>
          <w:rFonts w:asciiTheme="minorHAnsi" w:eastAsiaTheme="minorEastAsia" w:hAnsiTheme="minorHAnsi" w:cstheme="minorBidi"/>
          <w:noProof/>
          <w:szCs w:val="22"/>
        </w:rPr>
      </w:pPr>
      <w:hyperlink w:anchor="_Toc69371537" w:history="1">
        <w:r>
          <w:rPr>
            <w:rStyle w:val="af8"/>
            <w:rFonts w:ascii="Times New Roman" w:hAnsi="Times New Roman"/>
            <w:noProof/>
          </w:rPr>
          <w:t>十五、禁止行为</w:t>
        </w:r>
        <w:r>
          <w:rPr>
            <w:noProof/>
          </w:rPr>
          <w:tab/>
        </w:r>
        <w:r>
          <w:rPr>
            <w:noProof/>
          </w:rPr>
          <w:fldChar w:fldCharType="begin"/>
        </w:r>
        <w:r>
          <w:rPr>
            <w:noProof/>
          </w:rPr>
          <w:instrText xml:space="preserve"> PAGEREF _Toc69371537 \h </w:instrText>
        </w:r>
        <w:r>
          <w:rPr>
            <w:noProof/>
          </w:rPr>
        </w:r>
        <w:r>
          <w:rPr>
            <w:noProof/>
          </w:rPr>
          <w:fldChar w:fldCharType="separate"/>
        </w:r>
        <w:r w:rsidR="005F7822">
          <w:rPr>
            <w:noProof/>
          </w:rPr>
          <w:t>38</w:t>
        </w:r>
        <w:r>
          <w:rPr>
            <w:noProof/>
          </w:rPr>
          <w:fldChar w:fldCharType="end"/>
        </w:r>
      </w:hyperlink>
    </w:p>
    <w:p w14:paraId="77DF3252" w14:textId="0670B8C7" w:rsidR="00BC7646" w:rsidRDefault="00000000">
      <w:pPr>
        <w:pStyle w:val="TOC2"/>
        <w:rPr>
          <w:rFonts w:asciiTheme="minorHAnsi" w:eastAsiaTheme="minorEastAsia" w:hAnsiTheme="minorHAnsi" w:cstheme="minorBidi"/>
          <w:noProof/>
          <w:szCs w:val="22"/>
        </w:rPr>
      </w:pPr>
      <w:hyperlink w:anchor="_Toc69371538" w:history="1">
        <w:r>
          <w:rPr>
            <w:rStyle w:val="af8"/>
            <w:rFonts w:ascii="Times New Roman" w:hAnsi="Times New Roman"/>
            <w:noProof/>
          </w:rPr>
          <w:t>十六、托管协议的变更、终止与基金财产的清算</w:t>
        </w:r>
        <w:r>
          <w:rPr>
            <w:noProof/>
          </w:rPr>
          <w:tab/>
        </w:r>
        <w:r>
          <w:rPr>
            <w:noProof/>
          </w:rPr>
          <w:fldChar w:fldCharType="begin"/>
        </w:r>
        <w:r>
          <w:rPr>
            <w:noProof/>
          </w:rPr>
          <w:instrText xml:space="preserve"> PAGEREF _Toc69371538 \h </w:instrText>
        </w:r>
        <w:r>
          <w:rPr>
            <w:noProof/>
          </w:rPr>
        </w:r>
        <w:r>
          <w:rPr>
            <w:noProof/>
          </w:rPr>
          <w:fldChar w:fldCharType="separate"/>
        </w:r>
        <w:r w:rsidR="005F7822">
          <w:rPr>
            <w:noProof/>
          </w:rPr>
          <w:t>40</w:t>
        </w:r>
        <w:r>
          <w:rPr>
            <w:noProof/>
          </w:rPr>
          <w:fldChar w:fldCharType="end"/>
        </w:r>
      </w:hyperlink>
    </w:p>
    <w:p w14:paraId="489A5A5E" w14:textId="568DED6E" w:rsidR="00BC7646" w:rsidRDefault="00000000">
      <w:pPr>
        <w:pStyle w:val="TOC2"/>
        <w:rPr>
          <w:rFonts w:asciiTheme="minorHAnsi" w:eastAsiaTheme="minorEastAsia" w:hAnsiTheme="minorHAnsi" w:cstheme="minorBidi"/>
          <w:noProof/>
          <w:szCs w:val="22"/>
        </w:rPr>
      </w:pPr>
      <w:hyperlink w:anchor="_Toc69371539" w:history="1">
        <w:r>
          <w:rPr>
            <w:rStyle w:val="af8"/>
            <w:rFonts w:ascii="Times New Roman" w:hAnsi="Times New Roman"/>
            <w:noProof/>
          </w:rPr>
          <w:t>十七、违约责任</w:t>
        </w:r>
        <w:r>
          <w:rPr>
            <w:noProof/>
          </w:rPr>
          <w:tab/>
        </w:r>
        <w:r>
          <w:rPr>
            <w:noProof/>
          </w:rPr>
          <w:fldChar w:fldCharType="begin"/>
        </w:r>
        <w:r>
          <w:rPr>
            <w:noProof/>
          </w:rPr>
          <w:instrText xml:space="preserve"> PAGEREF _Toc69371539 \h </w:instrText>
        </w:r>
        <w:r>
          <w:rPr>
            <w:noProof/>
          </w:rPr>
        </w:r>
        <w:r>
          <w:rPr>
            <w:noProof/>
          </w:rPr>
          <w:fldChar w:fldCharType="separate"/>
        </w:r>
        <w:r w:rsidR="005F7822">
          <w:rPr>
            <w:noProof/>
          </w:rPr>
          <w:t>41</w:t>
        </w:r>
        <w:r>
          <w:rPr>
            <w:noProof/>
          </w:rPr>
          <w:fldChar w:fldCharType="end"/>
        </w:r>
      </w:hyperlink>
    </w:p>
    <w:p w14:paraId="6489953F" w14:textId="5F8903C4" w:rsidR="00BC7646" w:rsidRDefault="00000000">
      <w:pPr>
        <w:pStyle w:val="TOC2"/>
        <w:rPr>
          <w:rFonts w:asciiTheme="minorHAnsi" w:eastAsiaTheme="minorEastAsia" w:hAnsiTheme="minorHAnsi" w:cstheme="minorBidi"/>
          <w:noProof/>
          <w:szCs w:val="22"/>
        </w:rPr>
      </w:pPr>
      <w:hyperlink w:anchor="_Toc69371540" w:history="1">
        <w:r>
          <w:rPr>
            <w:rStyle w:val="af8"/>
            <w:rFonts w:ascii="Times New Roman" w:hAnsi="Times New Roman"/>
            <w:noProof/>
          </w:rPr>
          <w:t>十八、争议解决方式</w:t>
        </w:r>
        <w:r>
          <w:rPr>
            <w:noProof/>
          </w:rPr>
          <w:tab/>
        </w:r>
        <w:r>
          <w:rPr>
            <w:noProof/>
          </w:rPr>
          <w:fldChar w:fldCharType="begin"/>
        </w:r>
        <w:r>
          <w:rPr>
            <w:noProof/>
          </w:rPr>
          <w:instrText xml:space="preserve"> PAGEREF _Toc69371540 \h </w:instrText>
        </w:r>
        <w:r>
          <w:rPr>
            <w:noProof/>
          </w:rPr>
        </w:r>
        <w:r>
          <w:rPr>
            <w:noProof/>
          </w:rPr>
          <w:fldChar w:fldCharType="separate"/>
        </w:r>
        <w:r w:rsidR="005F7822">
          <w:rPr>
            <w:noProof/>
          </w:rPr>
          <w:t>42</w:t>
        </w:r>
        <w:r>
          <w:rPr>
            <w:noProof/>
          </w:rPr>
          <w:fldChar w:fldCharType="end"/>
        </w:r>
      </w:hyperlink>
    </w:p>
    <w:p w14:paraId="0D2F8E92" w14:textId="249FC7EE" w:rsidR="00BC7646" w:rsidRDefault="00000000">
      <w:pPr>
        <w:pStyle w:val="TOC2"/>
        <w:rPr>
          <w:rFonts w:asciiTheme="minorHAnsi" w:eastAsiaTheme="minorEastAsia" w:hAnsiTheme="minorHAnsi" w:cstheme="minorBidi"/>
          <w:noProof/>
          <w:szCs w:val="22"/>
        </w:rPr>
      </w:pPr>
      <w:hyperlink w:anchor="_Toc69371541" w:history="1">
        <w:r>
          <w:rPr>
            <w:rStyle w:val="af8"/>
            <w:rFonts w:ascii="Times New Roman" w:hAnsi="Times New Roman"/>
            <w:noProof/>
          </w:rPr>
          <w:t>十九、托管协议的效力</w:t>
        </w:r>
        <w:r>
          <w:rPr>
            <w:noProof/>
          </w:rPr>
          <w:tab/>
        </w:r>
        <w:r>
          <w:rPr>
            <w:noProof/>
          </w:rPr>
          <w:fldChar w:fldCharType="begin"/>
        </w:r>
        <w:r>
          <w:rPr>
            <w:noProof/>
          </w:rPr>
          <w:instrText xml:space="preserve"> PAGEREF _Toc69371541 \h </w:instrText>
        </w:r>
        <w:r>
          <w:rPr>
            <w:noProof/>
          </w:rPr>
        </w:r>
        <w:r>
          <w:rPr>
            <w:noProof/>
          </w:rPr>
          <w:fldChar w:fldCharType="separate"/>
        </w:r>
        <w:r w:rsidR="005F7822">
          <w:rPr>
            <w:noProof/>
          </w:rPr>
          <w:t>43</w:t>
        </w:r>
        <w:r>
          <w:rPr>
            <w:noProof/>
          </w:rPr>
          <w:fldChar w:fldCharType="end"/>
        </w:r>
      </w:hyperlink>
    </w:p>
    <w:p w14:paraId="747D341A" w14:textId="5B19C368" w:rsidR="00BC7646" w:rsidRDefault="00000000">
      <w:pPr>
        <w:pStyle w:val="TOC2"/>
        <w:rPr>
          <w:rFonts w:asciiTheme="minorHAnsi" w:eastAsiaTheme="minorEastAsia" w:hAnsiTheme="minorHAnsi" w:cstheme="minorBidi"/>
          <w:noProof/>
          <w:szCs w:val="22"/>
        </w:rPr>
      </w:pPr>
      <w:hyperlink w:anchor="_Toc69371542" w:history="1">
        <w:r>
          <w:rPr>
            <w:rStyle w:val="af8"/>
            <w:rFonts w:ascii="Times New Roman" w:hAnsi="Times New Roman"/>
            <w:noProof/>
          </w:rPr>
          <w:t>二十、其他事项</w:t>
        </w:r>
        <w:r>
          <w:rPr>
            <w:noProof/>
          </w:rPr>
          <w:tab/>
        </w:r>
        <w:r>
          <w:rPr>
            <w:noProof/>
          </w:rPr>
          <w:fldChar w:fldCharType="begin"/>
        </w:r>
        <w:r>
          <w:rPr>
            <w:noProof/>
          </w:rPr>
          <w:instrText xml:space="preserve"> PAGEREF _Toc69371542 \h </w:instrText>
        </w:r>
        <w:r>
          <w:rPr>
            <w:noProof/>
          </w:rPr>
        </w:r>
        <w:r>
          <w:rPr>
            <w:noProof/>
          </w:rPr>
          <w:fldChar w:fldCharType="separate"/>
        </w:r>
        <w:r w:rsidR="005F7822">
          <w:rPr>
            <w:noProof/>
          </w:rPr>
          <w:t>44</w:t>
        </w:r>
        <w:r>
          <w:rPr>
            <w:noProof/>
          </w:rPr>
          <w:fldChar w:fldCharType="end"/>
        </w:r>
      </w:hyperlink>
    </w:p>
    <w:p w14:paraId="0244CB13" w14:textId="77777777" w:rsidR="00BC7646" w:rsidRDefault="00000000">
      <w:pPr>
        <w:spacing w:line="360" w:lineRule="auto"/>
        <w:rPr>
          <w:sz w:val="24"/>
        </w:rPr>
      </w:pPr>
      <w:r>
        <w:rPr>
          <w:sz w:val="24"/>
        </w:rPr>
        <w:fldChar w:fldCharType="end"/>
      </w:r>
    </w:p>
    <w:p w14:paraId="242F54AC" w14:textId="77777777" w:rsidR="00BC7646" w:rsidRDefault="00000000">
      <w:pPr>
        <w:spacing w:line="360" w:lineRule="auto"/>
        <w:rPr>
          <w:sz w:val="24"/>
        </w:rPr>
      </w:pPr>
      <w:r>
        <w:rPr>
          <w:sz w:val="24"/>
        </w:rPr>
        <w:br w:type="page"/>
      </w:r>
    </w:p>
    <w:p w14:paraId="46D009E0"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lastRenderedPageBreak/>
        <w:t>鉴于兴华基金管理有限公司系一家依照中国法律合法成立并有效存续的有限责任公司，按照相关法律法规的规定具备担任基金管理人的资格和能力，拟募集发行</w:t>
      </w:r>
      <w:r>
        <w:rPr>
          <w:rFonts w:hint="eastAsia"/>
          <w:sz w:val="24"/>
        </w:rPr>
        <w:t>兴华</w:t>
      </w:r>
      <w:proofErr w:type="gramStart"/>
      <w:r>
        <w:rPr>
          <w:rFonts w:hint="eastAsia"/>
          <w:sz w:val="24"/>
        </w:rPr>
        <w:t>安聚纯债</w:t>
      </w:r>
      <w:proofErr w:type="gramEnd"/>
      <w:r>
        <w:rPr>
          <w:rFonts w:hint="eastAsia"/>
          <w:sz w:val="24"/>
        </w:rPr>
        <w:t>债券型证券投资基金</w:t>
      </w:r>
      <w:r>
        <w:rPr>
          <w:rFonts w:ascii="宋体" w:hAnsi="宋体" w:cs="Arial" w:hint="eastAsia"/>
          <w:sz w:val="24"/>
        </w:rPr>
        <w:t>；</w:t>
      </w:r>
    </w:p>
    <w:p w14:paraId="3617BA7B"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鉴于恒丰银行股份有限公司系一家依照中国法律合法成立并有效存续的银行，按照相关法律法规的规定具备担任基金托管人的资格和能力；</w:t>
      </w:r>
    </w:p>
    <w:p w14:paraId="4759CDEF"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鉴于兴华基金管理有限公司拟担任兴华</w:t>
      </w:r>
      <w:proofErr w:type="gramStart"/>
      <w:r>
        <w:rPr>
          <w:rFonts w:ascii="宋体" w:hAnsi="宋体" w:cs="Arial" w:hint="eastAsia"/>
          <w:sz w:val="24"/>
        </w:rPr>
        <w:t>安聚纯债</w:t>
      </w:r>
      <w:proofErr w:type="gramEnd"/>
      <w:r>
        <w:rPr>
          <w:rFonts w:ascii="宋体" w:hAnsi="宋体" w:cs="Arial" w:hint="eastAsia"/>
          <w:sz w:val="24"/>
        </w:rPr>
        <w:t>债券型证券投资基金的基金管理人，恒丰银行股份有限公司拟担任兴华</w:t>
      </w:r>
      <w:proofErr w:type="gramStart"/>
      <w:r>
        <w:rPr>
          <w:rFonts w:ascii="宋体" w:hAnsi="宋体" w:cs="Arial" w:hint="eastAsia"/>
          <w:sz w:val="24"/>
        </w:rPr>
        <w:t>安聚纯债</w:t>
      </w:r>
      <w:proofErr w:type="gramEnd"/>
      <w:r>
        <w:rPr>
          <w:rFonts w:ascii="宋体" w:hAnsi="宋体" w:cs="Arial" w:hint="eastAsia"/>
          <w:sz w:val="24"/>
        </w:rPr>
        <w:t>债券型证券投资基金的基金托管人；</w:t>
      </w:r>
    </w:p>
    <w:p w14:paraId="5B3E2E14"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为明确</w:t>
      </w:r>
      <w:r>
        <w:rPr>
          <w:rFonts w:hint="eastAsia"/>
          <w:sz w:val="24"/>
        </w:rPr>
        <w:t>兴华</w:t>
      </w:r>
      <w:proofErr w:type="gramStart"/>
      <w:r>
        <w:rPr>
          <w:rFonts w:hint="eastAsia"/>
          <w:sz w:val="24"/>
        </w:rPr>
        <w:t>安聚纯债</w:t>
      </w:r>
      <w:proofErr w:type="gramEnd"/>
      <w:r>
        <w:rPr>
          <w:rFonts w:hint="eastAsia"/>
          <w:sz w:val="24"/>
        </w:rPr>
        <w:t>债券型证券投资基金</w:t>
      </w:r>
      <w:r>
        <w:rPr>
          <w:rFonts w:ascii="宋体" w:hAnsi="宋体" w:cs="Arial" w:hint="eastAsia"/>
          <w:sz w:val="24"/>
        </w:rPr>
        <w:t>（以下</w:t>
      </w:r>
      <w:r>
        <w:rPr>
          <w:rFonts w:ascii="宋体" w:hAnsi="宋体" w:cs="Arial"/>
          <w:sz w:val="24"/>
        </w:rPr>
        <w:t>简称“</w:t>
      </w:r>
      <w:r>
        <w:rPr>
          <w:rFonts w:ascii="宋体" w:hAnsi="宋体" w:cs="Arial" w:hint="eastAsia"/>
          <w:sz w:val="24"/>
        </w:rPr>
        <w:t>基金</w:t>
      </w:r>
      <w:r>
        <w:rPr>
          <w:rFonts w:ascii="宋体" w:hAnsi="宋体" w:cs="Arial"/>
          <w:sz w:val="24"/>
        </w:rPr>
        <w:t>”</w:t>
      </w:r>
      <w:r>
        <w:rPr>
          <w:rFonts w:ascii="宋体" w:hAnsi="宋体" w:cs="Arial" w:hint="eastAsia"/>
          <w:sz w:val="24"/>
        </w:rPr>
        <w:t>或</w:t>
      </w:r>
      <w:r>
        <w:rPr>
          <w:rFonts w:ascii="宋体" w:hAnsi="宋体" w:cs="Arial"/>
          <w:sz w:val="24"/>
        </w:rPr>
        <w:t>“</w:t>
      </w:r>
      <w:r>
        <w:rPr>
          <w:rFonts w:ascii="宋体" w:hAnsi="宋体" w:cs="Arial" w:hint="eastAsia"/>
          <w:sz w:val="24"/>
        </w:rPr>
        <w:t>本基金</w:t>
      </w:r>
      <w:r>
        <w:rPr>
          <w:rFonts w:ascii="宋体" w:hAnsi="宋体" w:cs="Arial"/>
          <w:sz w:val="24"/>
        </w:rPr>
        <w:t>”</w:t>
      </w:r>
      <w:r>
        <w:rPr>
          <w:rFonts w:ascii="宋体" w:hAnsi="宋体" w:cs="Arial" w:hint="eastAsia"/>
          <w:sz w:val="24"/>
        </w:rPr>
        <w:t>）的基金管理人和基金托管人之间的权利义务关系，特制订本托管协议；</w:t>
      </w:r>
    </w:p>
    <w:p w14:paraId="7B7A9073"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除非另有约定，《</w:t>
      </w:r>
      <w:r>
        <w:rPr>
          <w:rFonts w:hint="eastAsia"/>
          <w:sz w:val="24"/>
        </w:rPr>
        <w:t>兴华安聚纯债债券型证券投资基金</w:t>
      </w:r>
      <w:r>
        <w:rPr>
          <w:kern w:val="0"/>
          <w:sz w:val="24"/>
          <w:lang w:val="en-GB"/>
        </w:rPr>
        <w:t>基金合同</w:t>
      </w:r>
      <w:r>
        <w:rPr>
          <w:rFonts w:ascii="宋体" w:hAnsi="宋体" w:cs="Arial" w:hint="eastAsia"/>
          <w:sz w:val="24"/>
        </w:rPr>
        <w:t>》(以下简称“基金合同”或“《基金合同》”)中定义的术语在用于本托管协议时应具有相同的含义，若有抵触应以基金合同为准。</w:t>
      </w:r>
    </w:p>
    <w:p w14:paraId="28048E28" w14:textId="77777777" w:rsidR="00BC7646" w:rsidRDefault="00BC7646">
      <w:pPr>
        <w:spacing w:line="360" w:lineRule="auto"/>
        <w:rPr>
          <w:sz w:val="24"/>
          <w:lang w:val="en-GB"/>
        </w:rPr>
      </w:pPr>
    </w:p>
    <w:p w14:paraId="51CE4A1B" w14:textId="77777777" w:rsidR="00BC7646" w:rsidRDefault="00000000">
      <w:pPr>
        <w:pStyle w:val="2"/>
        <w:spacing w:beforeLines="100" w:before="312" w:afterLines="50" w:after="156" w:line="360" w:lineRule="auto"/>
        <w:jc w:val="center"/>
        <w:rPr>
          <w:rFonts w:ascii="Times New Roman" w:eastAsia="宋体" w:hAnsi="Times New Roman"/>
          <w:sz w:val="24"/>
          <w:szCs w:val="24"/>
        </w:rPr>
      </w:pPr>
      <w:r>
        <w:rPr>
          <w:rFonts w:ascii="Times New Roman" w:eastAsia="宋体" w:hAnsi="Times New Roman"/>
          <w:sz w:val="24"/>
          <w:szCs w:val="24"/>
        </w:rPr>
        <w:br w:type="page"/>
      </w:r>
      <w:bookmarkStart w:id="4" w:name="_Toc69371523"/>
      <w:bookmarkStart w:id="5" w:name="_Toc348082029"/>
      <w:r>
        <w:rPr>
          <w:rFonts w:ascii="Times New Roman" w:eastAsia="宋体" w:hAnsi="Times New Roman" w:hint="eastAsia"/>
          <w:sz w:val="24"/>
          <w:szCs w:val="24"/>
        </w:rPr>
        <w:lastRenderedPageBreak/>
        <w:t>一、基金托管协议当事人</w:t>
      </w:r>
      <w:bookmarkEnd w:id="4"/>
      <w:bookmarkEnd w:id="5"/>
    </w:p>
    <w:p w14:paraId="71FDC2C6"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（一）基金管理人</w:t>
      </w:r>
    </w:p>
    <w:p w14:paraId="2F262562"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名称：兴华基金管理有限公司</w:t>
      </w:r>
    </w:p>
    <w:p w14:paraId="6574F964"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注册地址：山东省青岛市李沧区金水路187号青岛</w:t>
      </w:r>
      <w:proofErr w:type="gramStart"/>
      <w:r>
        <w:rPr>
          <w:rFonts w:ascii="宋体" w:hAnsi="宋体" w:cs="Arial" w:hint="eastAsia"/>
          <w:sz w:val="24"/>
        </w:rPr>
        <w:t>国际院士港</w:t>
      </w:r>
      <w:proofErr w:type="gramEnd"/>
      <w:r>
        <w:rPr>
          <w:rFonts w:ascii="宋体" w:hAnsi="宋体" w:cs="Arial" w:hint="eastAsia"/>
          <w:sz w:val="24"/>
        </w:rPr>
        <w:t>产业加速器2号楼8层</w:t>
      </w:r>
    </w:p>
    <w:p w14:paraId="53905488"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办公地址：山东省青岛市李沧区金水路187号青岛</w:t>
      </w:r>
      <w:proofErr w:type="gramStart"/>
      <w:r>
        <w:rPr>
          <w:rFonts w:ascii="宋体" w:hAnsi="宋体" w:cs="Arial" w:hint="eastAsia"/>
          <w:sz w:val="24"/>
        </w:rPr>
        <w:t>国际院士港</w:t>
      </w:r>
      <w:proofErr w:type="gramEnd"/>
      <w:r>
        <w:rPr>
          <w:rFonts w:ascii="宋体" w:hAnsi="宋体" w:cs="Arial" w:hint="eastAsia"/>
          <w:sz w:val="24"/>
        </w:rPr>
        <w:t>产业加速器2号楼8层</w:t>
      </w:r>
    </w:p>
    <w:p w14:paraId="6307D220"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法定代表人：</w:t>
      </w:r>
      <w:r>
        <w:rPr>
          <w:rFonts w:hint="eastAsia"/>
          <w:bCs/>
          <w:kern w:val="0"/>
          <w:sz w:val="24"/>
        </w:rPr>
        <w:t>张磊</w:t>
      </w:r>
    </w:p>
    <w:p w14:paraId="3E1504F8"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成立日期：2020年4月28日</w:t>
      </w:r>
    </w:p>
    <w:p w14:paraId="476C74C9" w14:textId="77777777" w:rsidR="00BC7646" w:rsidRDefault="00000000">
      <w:pPr>
        <w:spacing w:line="360" w:lineRule="auto"/>
        <w:ind w:firstLineChars="200" w:firstLine="480"/>
        <w:rPr>
          <w:rFonts w:ascii="宋体" w:hAnsi="宋体" w:cs="Arial"/>
          <w:sz w:val="24"/>
        </w:rPr>
      </w:pPr>
      <w:r>
        <w:rPr>
          <w:rFonts w:hint="eastAsia"/>
          <w:bCs/>
          <w:kern w:val="0"/>
          <w:sz w:val="24"/>
        </w:rPr>
        <w:t>批准设立机关及批准设立文号：中国证监会证监许可</w:t>
      </w:r>
      <w:r>
        <w:rPr>
          <w:rFonts w:ascii="宋体" w:hAnsi="宋体"/>
          <w:bCs/>
          <w:kern w:val="0"/>
          <w:sz w:val="24"/>
        </w:rPr>
        <w:t>【2020】368</w:t>
      </w:r>
      <w:r>
        <w:rPr>
          <w:rFonts w:hint="eastAsia"/>
          <w:bCs/>
          <w:kern w:val="0"/>
          <w:sz w:val="24"/>
        </w:rPr>
        <w:t>号</w:t>
      </w:r>
    </w:p>
    <w:p w14:paraId="26C922EE"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组织形式：有限责任公司</w:t>
      </w:r>
    </w:p>
    <w:p w14:paraId="0D4DCB1F"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注册资本：1亿元</w:t>
      </w:r>
    </w:p>
    <w:p w14:paraId="7C7622C0"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存续期间：持续经营</w:t>
      </w:r>
    </w:p>
    <w:p w14:paraId="5B200C52"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经营范围：公开募集证券投资基金管理、基金销售、私募资产管理和中国证监会许可的其他业务（依法须经批准的项目，经相关部门批准后方可开展经营活动）</w:t>
      </w:r>
    </w:p>
    <w:p w14:paraId="77858745"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（二）基金托管人</w:t>
      </w:r>
    </w:p>
    <w:p w14:paraId="58A347F8"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名称：</w:t>
      </w:r>
      <w:r>
        <w:rPr>
          <w:rFonts w:ascii="宋体" w:hAnsi="宋体" w:hint="eastAsia"/>
          <w:color w:val="000000"/>
          <w:sz w:val="24"/>
        </w:rPr>
        <w:t>恒丰银行股份有限公司（以下简称“恒丰银行”）</w:t>
      </w:r>
    </w:p>
    <w:p w14:paraId="0B0CD023"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注册地址：</w:t>
      </w:r>
      <w:r>
        <w:rPr>
          <w:rFonts w:ascii="宋体" w:hAnsi="宋体" w:hint="eastAsia"/>
          <w:color w:val="000000"/>
          <w:sz w:val="24"/>
        </w:rPr>
        <w:t>山东省济南市历下区</w:t>
      </w:r>
      <w:proofErr w:type="gramStart"/>
      <w:r>
        <w:rPr>
          <w:rFonts w:ascii="宋体" w:hAnsi="宋体" w:hint="eastAsia"/>
          <w:color w:val="000000"/>
          <w:sz w:val="24"/>
        </w:rPr>
        <w:t>泺</w:t>
      </w:r>
      <w:proofErr w:type="gramEnd"/>
      <w:r>
        <w:rPr>
          <w:rFonts w:ascii="宋体" w:hAnsi="宋体" w:hint="eastAsia"/>
          <w:color w:val="000000"/>
          <w:sz w:val="24"/>
        </w:rPr>
        <w:t>源大街8号</w:t>
      </w:r>
      <w:r>
        <w:rPr>
          <w:rFonts w:ascii="宋体" w:hAnsi="宋体" w:cs="Arial"/>
          <w:sz w:val="24"/>
        </w:rPr>
        <w:t xml:space="preserve"> </w:t>
      </w:r>
    </w:p>
    <w:p w14:paraId="0599766E"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办公地址：</w:t>
      </w:r>
      <w:r>
        <w:rPr>
          <w:rFonts w:ascii="宋体" w:hAnsi="宋体" w:hint="eastAsia"/>
          <w:color w:val="000000"/>
          <w:sz w:val="24"/>
        </w:rPr>
        <w:t>山东省济南市历下区</w:t>
      </w:r>
      <w:proofErr w:type="gramStart"/>
      <w:r>
        <w:rPr>
          <w:rFonts w:ascii="宋体" w:hAnsi="宋体" w:hint="eastAsia"/>
          <w:color w:val="000000"/>
          <w:sz w:val="24"/>
        </w:rPr>
        <w:t>泺</w:t>
      </w:r>
      <w:proofErr w:type="gramEnd"/>
      <w:r>
        <w:rPr>
          <w:rFonts w:ascii="宋体" w:hAnsi="宋体" w:hint="eastAsia"/>
          <w:color w:val="000000"/>
          <w:sz w:val="24"/>
        </w:rPr>
        <w:t>源大街8号</w:t>
      </w:r>
      <w:r>
        <w:rPr>
          <w:rFonts w:ascii="宋体" w:hAnsi="宋体" w:cs="Arial"/>
          <w:sz w:val="24"/>
        </w:rPr>
        <w:t xml:space="preserve"> </w:t>
      </w:r>
    </w:p>
    <w:p w14:paraId="6B6117C6"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法定代表人：</w:t>
      </w:r>
      <w:r>
        <w:rPr>
          <w:rFonts w:ascii="宋体" w:hAnsi="宋体" w:hint="eastAsia"/>
          <w:color w:val="000000"/>
          <w:sz w:val="24"/>
        </w:rPr>
        <w:t>陈颖</w:t>
      </w:r>
      <w:r>
        <w:rPr>
          <w:rFonts w:ascii="宋体" w:hAnsi="宋体" w:cs="Arial"/>
          <w:sz w:val="24"/>
        </w:rPr>
        <w:t xml:space="preserve"> </w:t>
      </w:r>
    </w:p>
    <w:p w14:paraId="06DA0184"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成立日期：</w:t>
      </w:r>
      <w:r>
        <w:rPr>
          <w:rFonts w:ascii="宋体" w:hAnsi="宋体" w:hint="eastAsia"/>
          <w:color w:val="000000"/>
          <w:sz w:val="24"/>
        </w:rPr>
        <w:t>1987年11月23日</w:t>
      </w:r>
      <w:r>
        <w:rPr>
          <w:rFonts w:ascii="宋体" w:hAnsi="宋体" w:cs="Arial"/>
          <w:sz w:val="24"/>
        </w:rPr>
        <w:t xml:space="preserve"> </w:t>
      </w:r>
    </w:p>
    <w:p w14:paraId="7478DEB8"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基金托管业务批准文号：</w:t>
      </w:r>
      <w:r>
        <w:rPr>
          <w:rFonts w:ascii="宋体" w:hAnsi="宋体" w:hint="eastAsia"/>
          <w:color w:val="000000"/>
          <w:sz w:val="24"/>
        </w:rPr>
        <w:t>中国证监会证监许可</w:t>
      </w:r>
      <w:r>
        <w:rPr>
          <w:rFonts w:ascii="宋体" w:hAnsi="宋体"/>
          <w:bCs/>
          <w:kern w:val="0"/>
          <w:sz w:val="24"/>
        </w:rPr>
        <w:t>【2014】204</w:t>
      </w:r>
      <w:r>
        <w:rPr>
          <w:rFonts w:ascii="宋体" w:hAnsi="宋体" w:hint="eastAsia"/>
          <w:color w:val="000000"/>
          <w:sz w:val="24"/>
        </w:rPr>
        <w:t>号</w:t>
      </w:r>
      <w:r>
        <w:rPr>
          <w:rFonts w:ascii="宋体" w:hAnsi="宋体" w:cs="Arial"/>
          <w:sz w:val="24"/>
        </w:rPr>
        <w:t xml:space="preserve"> </w:t>
      </w:r>
    </w:p>
    <w:p w14:paraId="5C053AC5"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组织形式：股份有限公司</w:t>
      </w:r>
    </w:p>
    <w:p w14:paraId="4FAC7035"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注册资本：</w:t>
      </w:r>
      <w:r>
        <w:rPr>
          <w:rFonts w:ascii="宋体" w:hAnsi="宋体" w:hint="eastAsia"/>
          <w:color w:val="000000"/>
          <w:sz w:val="24"/>
        </w:rPr>
        <w:t>1112.09629836亿元人民币</w:t>
      </w:r>
      <w:r>
        <w:rPr>
          <w:rFonts w:ascii="宋体" w:hAnsi="宋体" w:cs="Arial"/>
          <w:sz w:val="24"/>
        </w:rPr>
        <w:t xml:space="preserve"> </w:t>
      </w:r>
    </w:p>
    <w:p w14:paraId="25597686"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存续期间：持续经营</w:t>
      </w:r>
    </w:p>
    <w:p w14:paraId="7424C147"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经营范围 ：吸收人民币存款；发放短期、中期和长期贷款；办理结算；办理票据贴现；发行金融债券；代理发行、代理兑付、承销政府债券；买卖政府债券；同业拆借；提供信用证服务及担保；代理收付款项；提供保管箱服务；外汇</w:t>
      </w:r>
      <w:r>
        <w:rPr>
          <w:rFonts w:ascii="宋体" w:hAnsi="宋体" w:cs="Arial" w:hint="eastAsia"/>
          <w:sz w:val="24"/>
        </w:rPr>
        <w:lastRenderedPageBreak/>
        <w:t>存款；外汇贷款；外汇汇款；外币兑换；国际结算；同业外汇拆借；外汇票据的承兑和贴现；外汇借款；外汇担保；结汇、售汇；发行和代理发行股票以外的外币有价证券；买卖和代理买卖股票以外的外币有价证券；自营外汇买卖；代客外汇买卖；资信调查、咨询、见证业务。（有效期限以许可证为准）。（依法</w:t>
      </w:r>
      <w:proofErr w:type="gramStart"/>
      <w:r>
        <w:rPr>
          <w:rFonts w:ascii="宋体" w:hAnsi="宋体" w:cs="Arial" w:hint="eastAsia"/>
          <w:sz w:val="24"/>
        </w:rPr>
        <w:t>须批准</w:t>
      </w:r>
      <w:proofErr w:type="gramEnd"/>
      <w:r>
        <w:rPr>
          <w:rFonts w:ascii="宋体" w:hAnsi="宋体" w:cs="Arial" w:hint="eastAsia"/>
          <w:sz w:val="24"/>
        </w:rPr>
        <w:t>的项目，经相关部门批准后方可开展经营活动）。</w:t>
      </w:r>
    </w:p>
    <w:p w14:paraId="4117AF63" w14:textId="77777777" w:rsidR="00BC7646" w:rsidRDefault="00000000">
      <w:pPr>
        <w:pStyle w:val="2"/>
        <w:spacing w:beforeLines="100" w:before="312" w:afterLines="50" w:after="156" w:line="360" w:lineRule="auto"/>
        <w:jc w:val="center"/>
        <w:rPr>
          <w:rFonts w:ascii="Times New Roman" w:eastAsia="宋体" w:hAnsi="Times New Roman"/>
          <w:sz w:val="24"/>
          <w:szCs w:val="24"/>
        </w:rPr>
      </w:pPr>
      <w:r>
        <w:rPr>
          <w:rFonts w:ascii="Times New Roman" w:eastAsia="宋体" w:hAnsi="Times New Roman"/>
          <w:sz w:val="24"/>
          <w:szCs w:val="24"/>
        </w:rPr>
        <w:br w:type="page"/>
      </w:r>
      <w:bookmarkStart w:id="6" w:name="_Toc69371524"/>
      <w:bookmarkStart w:id="7" w:name="_Toc348082030"/>
      <w:r>
        <w:rPr>
          <w:rFonts w:ascii="Times New Roman" w:eastAsia="宋体" w:hAnsi="Times New Roman" w:hint="eastAsia"/>
          <w:sz w:val="24"/>
          <w:szCs w:val="24"/>
        </w:rPr>
        <w:lastRenderedPageBreak/>
        <w:t>二、基金托管协议的依据、目的和原则</w:t>
      </w:r>
      <w:bookmarkEnd w:id="6"/>
      <w:bookmarkEnd w:id="7"/>
    </w:p>
    <w:p w14:paraId="44B046B3"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（一）订立托管协议的依据</w:t>
      </w:r>
    </w:p>
    <w:p w14:paraId="399523C9"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本协议依据《中华人民共和国民法典》、《中华人民共和国证券投资基金法》(以下简称“《基金法》”)、《公开募集证券投资基金运作管理办法》（以下简称“《运作办法》”）、《公开募集证券投资基金信息披露管理办法》（以下简称“《信息披露办法》”）、《证券投资基金信息披露内容与格式准则第</w:t>
      </w:r>
      <w:r>
        <w:rPr>
          <w:rFonts w:ascii="宋体" w:hAnsi="宋体" w:cs="Arial"/>
          <w:sz w:val="24"/>
        </w:rPr>
        <w:t>7</w:t>
      </w:r>
      <w:r>
        <w:rPr>
          <w:rFonts w:ascii="宋体" w:hAnsi="宋体" w:cs="Arial" w:hint="eastAsia"/>
          <w:sz w:val="24"/>
        </w:rPr>
        <w:t>号</w:t>
      </w:r>
      <w:r>
        <w:rPr>
          <w:rFonts w:ascii="宋体" w:hAnsi="宋体" w:cs="Arial"/>
          <w:sz w:val="24"/>
        </w:rPr>
        <w:t>&lt;</w:t>
      </w:r>
      <w:r>
        <w:rPr>
          <w:rFonts w:ascii="宋体" w:hAnsi="宋体" w:cs="Arial" w:hint="eastAsia"/>
          <w:sz w:val="24"/>
        </w:rPr>
        <w:t>托管协议的内容与格式</w:t>
      </w:r>
      <w:r>
        <w:rPr>
          <w:rFonts w:ascii="宋体" w:hAnsi="宋体" w:cs="Arial"/>
          <w:sz w:val="24"/>
        </w:rPr>
        <w:t>&gt;</w:t>
      </w:r>
      <w:r>
        <w:rPr>
          <w:rFonts w:ascii="宋体" w:hAnsi="宋体" w:cs="Arial" w:hint="eastAsia"/>
          <w:sz w:val="24"/>
        </w:rPr>
        <w:t>》、《公开募集开放式证券投资基金流动性风险管理规定》（以下简称“《流动性风险管理规定》”）等有关法律法规、基金合同及其他有关规定制订。</w:t>
      </w:r>
    </w:p>
    <w:p w14:paraId="298A98EF"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（二）订立托管协议的目的</w:t>
      </w:r>
    </w:p>
    <w:p w14:paraId="4519C42B"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订立本协议的目的是明确基金管理人与基金托管人之间在基金财产的保管、投资运作、净值计算、收益分配、基金份额持有人名册的保管、信息披露及相互监督等相关事宜中的权利义务及职责，确保基金财产的安全，保护基金份额持有人的合法权益。</w:t>
      </w:r>
    </w:p>
    <w:p w14:paraId="08877A12"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（三）订立托管协议的原则</w:t>
      </w:r>
    </w:p>
    <w:p w14:paraId="5062ACDA"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基金管理人和基金托管人本着平等自愿、诚实信用、充分保护基金份额持有人合法权益的原则，经协商一致，签订本协议。</w:t>
      </w:r>
    </w:p>
    <w:p w14:paraId="748DF664"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（四）解释</w:t>
      </w:r>
    </w:p>
    <w:p w14:paraId="05325A4F"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除非文义另有所指，本协议所使用的所有术语与基金合同的相应术语具有相同含义。若有抵触应以基金合同为准，并依其条款解释。</w:t>
      </w:r>
    </w:p>
    <w:p w14:paraId="77BF4577"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（五）若本基金实施</w:t>
      </w:r>
      <w:proofErr w:type="gramStart"/>
      <w:r>
        <w:rPr>
          <w:rFonts w:ascii="宋体" w:hAnsi="宋体" w:cs="Arial" w:hint="eastAsia"/>
          <w:sz w:val="24"/>
        </w:rPr>
        <w:t>侧袋机制</w:t>
      </w:r>
      <w:proofErr w:type="gramEnd"/>
      <w:r>
        <w:rPr>
          <w:rFonts w:ascii="宋体" w:hAnsi="宋体" w:cs="Arial" w:hint="eastAsia"/>
          <w:sz w:val="24"/>
        </w:rPr>
        <w:t>的，</w:t>
      </w:r>
      <w:proofErr w:type="gramStart"/>
      <w:r>
        <w:rPr>
          <w:rFonts w:ascii="宋体" w:hAnsi="宋体" w:cs="Arial" w:hint="eastAsia"/>
          <w:sz w:val="24"/>
        </w:rPr>
        <w:t>侧袋机制</w:t>
      </w:r>
      <w:proofErr w:type="gramEnd"/>
      <w:r>
        <w:rPr>
          <w:rFonts w:ascii="宋体" w:hAnsi="宋体" w:cs="Arial" w:hint="eastAsia"/>
          <w:sz w:val="24"/>
        </w:rPr>
        <w:t>实施期间的相关安排</w:t>
      </w:r>
      <w:proofErr w:type="gramStart"/>
      <w:r>
        <w:rPr>
          <w:rFonts w:ascii="宋体" w:hAnsi="宋体" w:cs="Arial" w:hint="eastAsia"/>
          <w:sz w:val="24"/>
        </w:rPr>
        <w:t>见基金</w:t>
      </w:r>
      <w:proofErr w:type="gramEnd"/>
      <w:r>
        <w:rPr>
          <w:rFonts w:ascii="宋体" w:hAnsi="宋体" w:cs="Arial" w:hint="eastAsia"/>
          <w:sz w:val="24"/>
        </w:rPr>
        <w:t>合同和招募说明书的规定。</w:t>
      </w:r>
    </w:p>
    <w:p w14:paraId="7FD8CBFB" w14:textId="77777777" w:rsidR="00BC7646" w:rsidRDefault="00BC7646">
      <w:pPr>
        <w:spacing w:line="360" w:lineRule="auto"/>
        <w:rPr>
          <w:sz w:val="24"/>
        </w:rPr>
      </w:pPr>
    </w:p>
    <w:p w14:paraId="3B164FCC" w14:textId="77777777" w:rsidR="00BC7646" w:rsidRDefault="00000000">
      <w:pPr>
        <w:pStyle w:val="2"/>
        <w:spacing w:beforeLines="100" w:before="312" w:afterLines="50" w:after="156" w:line="360" w:lineRule="auto"/>
        <w:jc w:val="center"/>
        <w:rPr>
          <w:rFonts w:ascii="Times New Roman" w:eastAsia="宋体" w:hAnsi="Times New Roman"/>
          <w:sz w:val="24"/>
          <w:szCs w:val="24"/>
        </w:rPr>
      </w:pPr>
      <w:r>
        <w:rPr>
          <w:rFonts w:ascii="Times New Roman" w:eastAsia="宋体" w:hAnsi="Times New Roman"/>
          <w:sz w:val="24"/>
          <w:szCs w:val="24"/>
        </w:rPr>
        <w:br w:type="page"/>
      </w:r>
      <w:bookmarkStart w:id="8" w:name="_Toc69371525"/>
      <w:bookmarkStart w:id="9" w:name="_Toc348082031"/>
      <w:r>
        <w:rPr>
          <w:rFonts w:ascii="Times New Roman" w:eastAsia="宋体" w:hAnsi="Times New Roman" w:hint="eastAsia"/>
          <w:sz w:val="24"/>
          <w:szCs w:val="24"/>
        </w:rPr>
        <w:lastRenderedPageBreak/>
        <w:t>三、基金托管人对基金管理人的业务监督和核查</w:t>
      </w:r>
      <w:bookmarkEnd w:id="8"/>
      <w:bookmarkEnd w:id="9"/>
    </w:p>
    <w:p w14:paraId="62002970"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（一）基金托管人对基金管理人的投资行为行使监督权</w:t>
      </w:r>
    </w:p>
    <w:p w14:paraId="3B428FD8"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基金托管人根据有关法律法规的规定以及《基金合同》的约定，对下述基金投资范围、投资对象等进行监督。《基金合同》明确约定基金投资证券选择标准的，基金管理人应</w:t>
      </w:r>
      <w:proofErr w:type="gramStart"/>
      <w:r>
        <w:rPr>
          <w:rFonts w:ascii="宋体" w:hAnsi="宋体" w:cs="Arial" w:hint="eastAsia"/>
          <w:sz w:val="24"/>
        </w:rPr>
        <w:t>事先或</w:t>
      </w:r>
      <w:proofErr w:type="gramEnd"/>
      <w:r>
        <w:rPr>
          <w:rFonts w:ascii="宋体" w:hAnsi="宋体" w:cs="Arial" w:hint="eastAsia"/>
          <w:sz w:val="24"/>
        </w:rPr>
        <w:t>定期向基金托管人提供投资品种池，以便基金托管人对基金实际投资是否符合基金合同关于证券选择标准的约定进行监督。</w:t>
      </w:r>
    </w:p>
    <w:p w14:paraId="0395295D" w14:textId="77777777" w:rsidR="00BC7646" w:rsidRDefault="00000000">
      <w:pPr>
        <w:spacing w:line="360" w:lineRule="auto"/>
        <w:ind w:firstLineChars="200" w:firstLine="480"/>
        <w:rPr>
          <w:bCs/>
          <w:sz w:val="24"/>
        </w:rPr>
      </w:pPr>
      <w:r>
        <w:rPr>
          <w:rFonts w:ascii="宋体" w:hAnsi="宋体" w:cs="Arial" w:hint="eastAsia"/>
          <w:sz w:val="24"/>
        </w:rPr>
        <w:t>1、</w:t>
      </w:r>
      <w:r>
        <w:rPr>
          <w:rFonts w:hint="eastAsia"/>
          <w:bCs/>
          <w:sz w:val="24"/>
        </w:rPr>
        <w:t>本基金的投资范围主要为具有良好流动性的金融工具，包括国内依法发行上市的债券（包括国债、金融债、地方政府债、企业债、公司债、央行票据、中期票据、短期融资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、政府支持机构债券、政府支持债券、次级债、证券公司短期公司债券）、资产支持证券、债券回购、银行存款</w:t>
      </w:r>
      <w:r>
        <w:rPr>
          <w:rFonts w:ascii="Times New Roman" w:hAnsi="Times New Roman" w:hint="eastAsia"/>
          <w:bCs/>
          <w:sz w:val="24"/>
          <w:szCs w:val="20"/>
          <w:lang w:bidi="ar"/>
        </w:rPr>
        <w:t>（包括协议存款、定期存款以及其他银行存款）</w:t>
      </w:r>
      <w:r>
        <w:rPr>
          <w:rFonts w:hint="eastAsia"/>
          <w:bCs/>
          <w:sz w:val="24"/>
        </w:rPr>
        <w:t>、同业存单、货币市场工具、国债期货以及法律法规或中国证监会允许基金投资的其它金融工具，但须符合中国证监会的相关规定。</w:t>
      </w:r>
    </w:p>
    <w:p w14:paraId="0C608ABD" w14:textId="77777777" w:rsidR="00BC7646" w:rsidRDefault="00000000">
      <w:pPr>
        <w:spacing w:line="360" w:lineRule="auto"/>
        <w:ind w:firstLineChars="200" w:firstLine="480"/>
        <w:rPr>
          <w:bCs/>
          <w:sz w:val="24"/>
        </w:rPr>
      </w:pPr>
      <w:r>
        <w:rPr>
          <w:rFonts w:hint="eastAsia"/>
          <w:bCs/>
          <w:sz w:val="24"/>
        </w:rPr>
        <w:t>本基金不投资于股票，也不投资于可转换债券、可交换债券。</w:t>
      </w:r>
    </w:p>
    <w:p w14:paraId="6EB71FBE" w14:textId="77777777" w:rsidR="00BC7646" w:rsidRDefault="00000000">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14:paraId="0249A6E0" w14:textId="77777777" w:rsidR="00BC7646" w:rsidRDefault="00000000">
      <w:pPr>
        <w:spacing w:line="360" w:lineRule="auto"/>
        <w:ind w:firstLine="480"/>
        <w:rPr>
          <w:bCs/>
          <w:sz w:val="24"/>
        </w:rPr>
      </w:pPr>
      <w:r>
        <w:rPr>
          <w:bCs/>
          <w:sz w:val="24"/>
        </w:rPr>
        <w:t>基金的投资组合比例为：</w:t>
      </w:r>
      <w:bookmarkStart w:id="10" w:name="_Hlk37427695"/>
      <w:r>
        <w:rPr>
          <w:rFonts w:hint="eastAsia"/>
          <w:bCs/>
          <w:sz w:val="24"/>
        </w:rPr>
        <w:t>本基金投资于债券资产的比例不低于基金资产的</w:t>
      </w:r>
      <w:r>
        <w:rPr>
          <w:bCs/>
          <w:sz w:val="24"/>
        </w:rPr>
        <w:t>80%</w:t>
      </w:r>
      <w:r>
        <w:rPr>
          <w:rFonts w:hint="eastAsia"/>
          <w:bCs/>
          <w:sz w:val="24"/>
        </w:rPr>
        <w:t>；每个交易日日终在扣除国债期货合约需缴纳的交易保证金后，本基金持有现金或者到期日在一年以内的政府债券投资比例不低于基金资产净值的</w:t>
      </w:r>
      <w:r>
        <w:rPr>
          <w:bCs/>
          <w:sz w:val="24"/>
        </w:rPr>
        <w:t>5%</w:t>
      </w:r>
      <w:r>
        <w:rPr>
          <w:rFonts w:hint="eastAsia"/>
          <w:bCs/>
          <w:sz w:val="24"/>
        </w:rPr>
        <w:t>。其中，现金不包括结算备付金、存出保证金和应收申购款等。</w:t>
      </w:r>
    </w:p>
    <w:bookmarkEnd w:id="10"/>
    <w:p w14:paraId="5E9393C0"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2、</w:t>
      </w:r>
      <w:r>
        <w:rPr>
          <w:rFonts w:hint="eastAsia"/>
          <w:bCs/>
          <w:sz w:val="24"/>
        </w:rPr>
        <w:t>基金托管人按下述比例和调整期限进行监督：</w:t>
      </w:r>
    </w:p>
    <w:p w14:paraId="5E980551" w14:textId="77777777" w:rsidR="00BC7646" w:rsidRDefault="0000000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）本基金投资于债券资产的比例不低于基金资产的</w:t>
      </w:r>
      <w:r>
        <w:rPr>
          <w:rFonts w:hint="eastAsia"/>
          <w:bCs/>
          <w:sz w:val="24"/>
        </w:rPr>
        <w:t>80%</w:t>
      </w:r>
      <w:r>
        <w:rPr>
          <w:rFonts w:hint="eastAsia"/>
          <w:bCs/>
          <w:sz w:val="24"/>
        </w:rPr>
        <w:t>；</w:t>
      </w:r>
    </w:p>
    <w:p w14:paraId="0910D9BC" w14:textId="77777777" w:rsidR="00BC7646" w:rsidRDefault="00000000">
      <w:pPr>
        <w:spacing w:line="360" w:lineRule="auto"/>
        <w:ind w:firstLine="480"/>
        <w:rPr>
          <w:bCs/>
          <w:sz w:val="24"/>
        </w:rPr>
      </w:pPr>
      <w:r>
        <w:rPr>
          <w:rFonts w:hint="eastAsia"/>
          <w:bCs/>
          <w:sz w:val="24"/>
        </w:rPr>
        <w:t>（</w:t>
      </w:r>
      <w:r>
        <w:rPr>
          <w:rFonts w:hint="eastAsia"/>
          <w:bCs/>
          <w:sz w:val="24"/>
        </w:rPr>
        <w:t>2</w:t>
      </w:r>
      <w:r>
        <w:rPr>
          <w:rFonts w:hint="eastAsia"/>
          <w:bCs/>
          <w:sz w:val="24"/>
        </w:rPr>
        <w:t>）每个交易日日终在扣除国债期货合约需缴纳的交易保证金后，本基金持有现金或者到期日在一年以内的政府债券投资比例不低于基金资产净值的</w:t>
      </w:r>
      <w:r>
        <w:rPr>
          <w:bCs/>
          <w:sz w:val="24"/>
        </w:rPr>
        <w:t>5%</w:t>
      </w:r>
      <w:r>
        <w:rPr>
          <w:rFonts w:hint="eastAsia"/>
          <w:bCs/>
          <w:sz w:val="24"/>
        </w:rPr>
        <w:t>。其中，现金不包括结算备付金、存出保证金和应收申购款等；</w:t>
      </w:r>
    </w:p>
    <w:p w14:paraId="667DA496" w14:textId="77777777" w:rsidR="00BC7646" w:rsidRDefault="00000000">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）本基金持有一家公司发行的证券，其市值不超过基金资产净值的</w:t>
      </w:r>
      <w:r>
        <w:rPr>
          <w:rFonts w:hint="eastAsia"/>
          <w:bCs/>
          <w:sz w:val="24"/>
        </w:rPr>
        <w:t>10%</w:t>
      </w:r>
      <w:r>
        <w:rPr>
          <w:rFonts w:hint="eastAsia"/>
          <w:bCs/>
          <w:sz w:val="24"/>
        </w:rPr>
        <w:t>；</w:t>
      </w:r>
    </w:p>
    <w:p w14:paraId="7D1FFD88" w14:textId="77777777" w:rsidR="00BC7646" w:rsidRDefault="00000000">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）本基金管理人管理的全部基金持有一家公司发行的证券，不超过该证券的</w:t>
      </w:r>
      <w:r>
        <w:rPr>
          <w:rFonts w:hint="eastAsia"/>
          <w:bCs/>
          <w:sz w:val="24"/>
        </w:rPr>
        <w:t>10</w:t>
      </w:r>
      <w:r>
        <w:rPr>
          <w:rFonts w:hint="eastAsia"/>
          <w:bCs/>
          <w:sz w:val="24"/>
        </w:rPr>
        <w:t>％，完全按照有关指数的构成比例进行证券投资的基金品种可以不受此条款规定的比例限制；</w:t>
      </w:r>
    </w:p>
    <w:p w14:paraId="4F4E51F3" w14:textId="77777777" w:rsidR="00BC7646" w:rsidRDefault="00000000">
      <w:pPr>
        <w:spacing w:line="360" w:lineRule="auto"/>
        <w:ind w:firstLineChars="200" w:firstLine="480"/>
        <w:rPr>
          <w:bCs/>
          <w:sz w:val="24"/>
        </w:rPr>
      </w:pPr>
      <w:r>
        <w:rPr>
          <w:rFonts w:hint="eastAsia"/>
          <w:bCs/>
          <w:sz w:val="24"/>
        </w:rPr>
        <w:lastRenderedPageBreak/>
        <w:t>（</w:t>
      </w:r>
      <w:r>
        <w:rPr>
          <w:rFonts w:hint="eastAsia"/>
          <w:bCs/>
          <w:sz w:val="24"/>
        </w:rPr>
        <w:t>5</w:t>
      </w:r>
      <w:r>
        <w:rPr>
          <w:rFonts w:hint="eastAsia"/>
          <w:bCs/>
          <w:sz w:val="24"/>
        </w:rPr>
        <w:t>）本基金债券正回购资金余额或逆回购资金余额不得超过其上一日基金资产净值的</w:t>
      </w:r>
      <w:r>
        <w:rPr>
          <w:rFonts w:hint="eastAsia"/>
          <w:bCs/>
          <w:sz w:val="24"/>
        </w:rPr>
        <w:t>40%</w:t>
      </w:r>
      <w:r>
        <w:rPr>
          <w:rFonts w:hint="eastAsia"/>
          <w:bCs/>
          <w:sz w:val="24"/>
        </w:rPr>
        <w:t>，在全国银行间同业市场中的债券回购最长期限为</w:t>
      </w:r>
      <w:r>
        <w:rPr>
          <w:rFonts w:hint="eastAsia"/>
          <w:bCs/>
          <w:sz w:val="24"/>
        </w:rPr>
        <w:t>1</w:t>
      </w:r>
      <w:r>
        <w:rPr>
          <w:rFonts w:hint="eastAsia"/>
          <w:bCs/>
          <w:sz w:val="24"/>
        </w:rPr>
        <w:t>年，债券回购到期后</w:t>
      </w:r>
      <w:proofErr w:type="gramStart"/>
      <w:r>
        <w:rPr>
          <w:rFonts w:hint="eastAsia"/>
          <w:bCs/>
          <w:sz w:val="24"/>
        </w:rPr>
        <w:t>不</w:t>
      </w:r>
      <w:proofErr w:type="gramEnd"/>
      <w:r>
        <w:rPr>
          <w:rFonts w:hint="eastAsia"/>
          <w:bCs/>
          <w:sz w:val="24"/>
        </w:rPr>
        <w:t>展期；</w:t>
      </w:r>
    </w:p>
    <w:p w14:paraId="0AAAC7C0" w14:textId="77777777" w:rsidR="00BC7646" w:rsidRDefault="00000000">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）本基金主动投资于流动性受限资产的市值合计不得超过本基金资产净值的</w:t>
      </w:r>
      <w:r>
        <w:rPr>
          <w:rFonts w:hint="eastAsia"/>
          <w:bCs/>
          <w:sz w:val="24"/>
        </w:rPr>
        <w:t>15%</w:t>
      </w:r>
      <w:r>
        <w:rPr>
          <w:rFonts w:hint="eastAsia"/>
          <w:bCs/>
          <w:sz w:val="24"/>
        </w:rPr>
        <w:t>，因证券市场波动、基金规模变动等基金管理人之外的因素致使基金不符该比例限制的，基金管理人不得主动新增流动性受限资产的投资；</w:t>
      </w:r>
    </w:p>
    <w:p w14:paraId="54BDB683" w14:textId="77777777" w:rsidR="00BC7646" w:rsidRDefault="00000000">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0D0FAE6A" w14:textId="77777777" w:rsidR="00BC7646" w:rsidRDefault="00000000">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2DA2BE6C" w14:textId="77777777" w:rsidR="00BC7646" w:rsidRDefault="00000000">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）本基金持有的同一</w:t>
      </w:r>
      <w:r>
        <w:rPr>
          <w:rFonts w:hint="eastAsia"/>
          <w:bCs/>
          <w:sz w:val="24"/>
        </w:rPr>
        <w:t>(</w:t>
      </w:r>
      <w:r>
        <w:rPr>
          <w:rFonts w:hint="eastAsia"/>
          <w:bCs/>
          <w:sz w:val="24"/>
        </w:rPr>
        <w:t>指同一信用级别</w:t>
      </w:r>
      <w:r>
        <w:rPr>
          <w:rFonts w:hint="eastAsia"/>
          <w:bCs/>
          <w:sz w:val="24"/>
        </w:rPr>
        <w:t>)</w:t>
      </w:r>
      <w:r>
        <w:rPr>
          <w:rFonts w:hint="eastAsia"/>
          <w:bCs/>
          <w:sz w:val="24"/>
        </w:rPr>
        <w:t>资产支持证券的比例，不得超过该资产支持证券规模的</w:t>
      </w:r>
      <w:r>
        <w:rPr>
          <w:rFonts w:hint="eastAsia"/>
          <w:bCs/>
          <w:sz w:val="24"/>
        </w:rPr>
        <w:t>10</w:t>
      </w:r>
      <w:r>
        <w:rPr>
          <w:rFonts w:hint="eastAsia"/>
          <w:bCs/>
          <w:sz w:val="24"/>
        </w:rPr>
        <w:t>％；</w:t>
      </w:r>
    </w:p>
    <w:p w14:paraId="57700BA0" w14:textId="77777777" w:rsidR="00BC7646" w:rsidRDefault="00000000">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007AE387" w14:textId="77777777" w:rsidR="00BC7646" w:rsidRDefault="00000000">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）本基金总资产不得超过基金净资产的</w:t>
      </w:r>
      <w:r>
        <w:rPr>
          <w:rFonts w:hint="eastAsia"/>
          <w:bCs/>
          <w:sz w:val="24"/>
        </w:rPr>
        <w:t>140%</w:t>
      </w:r>
      <w:r>
        <w:rPr>
          <w:rFonts w:hint="eastAsia"/>
          <w:bCs/>
          <w:sz w:val="24"/>
        </w:rPr>
        <w:t>；</w:t>
      </w:r>
    </w:p>
    <w:p w14:paraId="057762D3" w14:textId="77777777" w:rsidR="00BC7646" w:rsidRDefault="00000000">
      <w:pPr>
        <w:pStyle w:val="Normal1"/>
        <w:spacing w:line="360" w:lineRule="auto"/>
        <w:ind w:firstLineChars="200" w:firstLine="480"/>
        <w:rPr>
          <w:bCs/>
          <w:sz w:val="24"/>
          <w:szCs w:val="24"/>
        </w:rPr>
      </w:pPr>
      <w:r>
        <w:rPr>
          <w:rFonts w:ascii="宋体" w:hAnsi="宋体" w:hint="eastAsia"/>
          <w:bCs/>
          <w:sz w:val="24"/>
          <w:szCs w:val="24"/>
        </w:rPr>
        <w:t>本基金参与国债期货投资的，需遵循下列（</w:t>
      </w:r>
      <w:r>
        <w:rPr>
          <w:rFonts w:cs="Calibri" w:hint="eastAsia"/>
          <w:bCs/>
          <w:sz w:val="24"/>
          <w:szCs w:val="24"/>
        </w:rPr>
        <w:t>1</w:t>
      </w:r>
      <w:r>
        <w:rPr>
          <w:bCs/>
          <w:sz w:val="24"/>
          <w:szCs w:val="24"/>
        </w:rPr>
        <w:t>2</w:t>
      </w:r>
      <w:r>
        <w:rPr>
          <w:rFonts w:ascii="宋体" w:hAnsi="宋体" w:hint="eastAsia"/>
          <w:bCs/>
          <w:sz w:val="24"/>
          <w:szCs w:val="24"/>
        </w:rPr>
        <w:t>）</w:t>
      </w:r>
      <w:r>
        <w:rPr>
          <w:rFonts w:cs="Calibri" w:hint="eastAsia"/>
          <w:bCs/>
          <w:sz w:val="24"/>
          <w:szCs w:val="24"/>
        </w:rPr>
        <w:t>-</w:t>
      </w:r>
      <w:r>
        <w:rPr>
          <w:rFonts w:ascii="宋体" w:hAnsi="宋体" w:hint="eastAsia"/>
          <w:bCs/>
          <w:sz w:val="24"/>
          <w:szCs w:val="24"/>
        </w:rPr>
        <w:t>（</w:t>
      </w:r>
      <w:r>
        <w:rPr>
          <w:rFonts w:cs="Calibri" w:hint="eastAsia"/>
          <w:bCs/>
          <w:sz w:val="24"/>
          <w:szCs w:val="24"/>
        </w:rPr>
        <w:t>1</w:t>
      </w:r>
      <w:r>
        <w:rPr>
          <w:bCs/>
          <w:sz w:val="24"/>
          <w:szCs w:val="24"/>
        </w:rPr>
        <w:t>5</w:t>
      </w:r>
      <w:r>
        <w:rPr>
          <w:rFonts w:ascii="宋体" w:hAnsi="宋体" w:hint="eastAsia"/>
          <w:bCs/>
          <w:sz w:val="24"/>
          <w:szCs w:val="24"/>
        </w:rPr>
        <w:t>）的投资组合限制：</w:t>
      </w:r>
    </w:p>
    <w:p w14:paraId="5016F5A5" w14:textId="77777777" w:rsidR="00BC7646" w:rsidRDefault="00000000">
      <w:pPr>
        <w:pStyle w:val="Normal1"/>
        <w:spacing w:line="360" w:lineRule="auto"/>
        <w:ind w:firstLineChars="200" w:firstLine="480"/>
        <w:rPr>
          <w:bCs/>
          <w:sz w:val="24"/>
          <w:szCs w:val="24"/>
        </w:rPr>
      </w:pPr>
      <w:r>
        <w:rPr>
          <w:rFonts w:ascii="宋体" w:hAnsi="宋体" w:hint="eastAsia"/>
          <w:bCs/>
          <w:sz w:val="24"/>
          <w:szCs w:val="24"/>
        </w:rPr>
        <w:t>（</w:t>
      </w:r>
      <w:r>
        <w:rPr>
          <w:rFonts w:cs="Calibri" w:hint="eastAsia"/>
          <w:bCs/>
          <w:sz w:val="24"/>
          <w:szCs w:val="24"/>
        </w:rPr>
        <w:t>1</w:t>
      </w:r>
      <w:r>
        <w:rPr>
          <w:bCs/>
          <w:sz w:val="24"/>
          <w:szCs w:val="24"/>
        </w:rPr>
        <w:t>2</w:t>
      </w:r>
      <w:r>
        <w:rPr>
          <w:rFonts w:ascii="宋体" w:hAnsi="宋体" w:hint="eastAsia"/>
          <w:bCs/>
          <w:sz w:val="24"/>
          <w:szCs w:val="24"/>
        </w:rPr>
        <w:t>）在任何交易日日终，持有的买入国债期货合约价值，不得超过基金资产净值的</w:t>
      </w:r>
      <w:r>
        <w:rPr>
          <w:rFonts w:cs="Calibri" w:hint="eastAsia"/>
          <w:bCs/>
          <w:sz w:val="24"/>
          <w:szCs w:val="24"/>
        </w:rPr>
        <w:t>15%</w:t>
      </w:r>
      <w:r>
        <w:rPr>
          <w:rFonts w:ascii="宋体" w:hAnsi="宋体" w:hint="eastAsia"/>
          <w:bCs/>
          <w:sz w:val="24"/>
          <w:szCs w:val="24"/>
        </w:rPr>
        <w:t>；</w:t>
      </w:r>
    </w:p>
    <w:p w14:paraId="1BDA9ABC" w14:textId="77777777" w:rsidR="00BC7646" w:rsidRDefault="00000000">
      <w:pPr>
        <w:pStyle w:val="Normal1"/>
        <w:spacing w:line="360" w:lineRule="auto"/>
        <w:ind w:firstLineChars="200" w:firstLine="480"/>
        <w:rPr>
          <w:bCs/>
          <w:sz w:val="24"/>
          <w:szCs w:val="24"/>
        </w:rPr>
      </w:pPr>
      <w:r>
        <w:rPr>
          <w:rFonts w:ascii="宋体" w:hAnsi="宋体" w:hint="eastAsia"/>
          <w:bCs/>
          <w:sz w:val="24"/>
          <w:szCs w:val="24"/>
        </w:rPr>
        <w:t>（</w:t>
      </w:r>
      <w:r>
        <w:rPr>
          <w:rFonts w:cs="Calibri" w:hint="eastAsia"/>
          <w:bCs/>
          <w:sz w:val="24"/>
          <w:szCs w:val="24"/>
        </w:rPr>
        <w:t>1</w:t>
      </w:r>
      <w:r>
        <w:rPr>
          <w:bCs/>
          <w:sz w:val="24"/>
          <w:szCs w:val="24"/>
        </w:rPr>
        <w:t>3</w:t>
      </w:r>
      <w:r>
        <w:rPr>
          <w:rFonts w:ascii="宋体" w:hAnsi="宋体" w:hint="eastAsia"/>
          <w:bCs/>
          <w:sz w:val="24"/>
          <w:szCs w:val="24"/>
        </w:rPr>
        <w:t>）在任何交易日日终，持有的卖出国债期货合约价值不得超过基金持有的债券总市值的</w:t>
      </w:r>
      <w:r>
        <w:rPr>
          <w:rFonts w:cs="Calibri" w:hint="eastAsia"/>
          <w:bCs/>
          <w:sz w:val="24"/>
          <w:szCs w:val="24"/>
        </w:rPr>
        <w:t>30%</w:t>
      </w:r>
      <w:r>
        <w:rPr>
          <w:rFonts w:ascii="宋体" w:hAnsi="宋体" w:hint="eastAsia"/>
          <w:bCs/>
          <w:sz w:val="24"/>
          <w:szCs w:val="24"/>
        </w:rPr>
        <w:t>；</w:t>
      </w:r>
    </w:p>
    <w:p w14:paraId="2C6EE614" w14:textId="77777777" w:rsidR="00BC7646" w:rsidRDefault="00000000">
      <w:pPr>
        <w:pStyle w:val="Normal1"/>
        <w:spacing w:line="360" w:lineRule="auto"/>
        <w:ind w:firstLineChars="200" w:firstLine="480"/>
        <w:rPr>
          <w:bCs/>
          <w:sz w:val="24"/>
          <w:szCs w:val="24"/>
        </w:rPr>
      </w:pPr>
      <w:r>
        <w:rPr>
          <w:rFonts w:ascii="宋体" w:hAnsi="宋体" w:hint="eastAsia"/>
          <w:bCs/>
          <w:sz w:val="24"/>
          <w:szCs w:val="24"/>
        </w:rPr>
        <w:t>（</w:t>
      </w:r>
      <w:r>
        <w:rPr>
          <w:rFonts w:cs="Calibri" w:hint="eastAsia"/>
          <w:bCs/>
          <w:sz w:val="24"/>
          <w:szCs w:val="24"/>
        </w:rPr>
        <w:t>1</w:t>
      </w:r>
      <w:r>
        <w:rPr>
          <w:bCs/>
          <w:sz w:val="24"/>
          <w:szCs w:val="24"/>
        </w:rPr>
        <w:t>4</w:t>
      </w:r>
      <w:r>
        <w:rPr>
          <w:rFonts w:ascii="宋体" w:hAnsi="宋体" w:hint="eastAsia"/>
          <w:bCs/>
          <w:sz w:val="24"/>
          <w:szCs w:val="24"/>
        </w:rPr>
        <w:t>）基金所持有的债券（不含到期日在一年以内的政府债券）市值和买入、卖出国债期货合约价值，合计（轧差计算）应当符合基金合同关于债券投资比例的有关约定；</w:t>
      </w:r>
    </w:p>
    <w:p w14:paraId="357D678E" w14:textId="77777777" w:rsidR="00BC7646" w:rsidRDefault="00000000">
      <w:pPr>
        <w:pStyle w:val="Normal1"/>
        <w:spacing w:line="360" w:lineRule="auto"/>
        <w:ind w:firstLineChars="200" w:firstLine="480"/>
        <w:rPr>
          <w:bCs/>
          <w:sz w:val="24"/>
          <w:szCs w:val="24"/>
        </w:rPr>
      </w:pPr>
      <w:r>
        <w:rPr>
          <w:rFonts w:ascii="宋体" w:hAnsi="宋体" w:hint="eastAsia"/>
          <w:bCs/>
          <w:sz w:val="24"/>
          <w:szCs w:val="24"/>
        </w:rPr>
        <w:t>（</w:t>
      </w:r>
      <w:r>
        <w:rPr>
          <w:rFonts w:cs="Calibri" w:hint="eastAsia"/>
          <w:bCs/>
          <w:sz w:val="24"/>
          <w:szCs w:val="24"/>
        </w:rPr>
        <w:t>1</w:t>
      </w:r>
      <w:r>
        <w:rPr>
          <w:bCs/>
          <w:sz w:val="24"/>
          <w:szCs w:val="24"/>
        </w:rPr>
        <w:t>5</w:t>
      </w:r>
      <w:r>
        <w:rPr>
          <w:rFonts w:ascii="宋体" w:hAnsi="宋体" w:hint="eastAsia"/>
          <w:bCs/>
          <w:sz w:val="24"/>
          <w:szCs w:val="24"/>
        </w:rPr>
        <w:t>）本基金在任何交易日内交易（不包括平仓）的国债期货合约的成交金额不得超过上一交易日基金资产净值的</w:t>
      </w:r>
      <w:r>
        <w:rPr>
          <w:rFonts w:cs="Calibri" w:hint="eastAsia"/>
          <w:bCs/>
          <w:sz w:val="24"/>
          <w:szCs w:val="24"/>
        </w:rPr>
        <w:t>30%</w:t>
      </w:r>
      <w:r>
        <w:rPr>
          <w:rFonts w:ascii="宋体" w:hAnsi="宋体" w:hint="eastAsia"/>
          <w:bCs/>
          <w:sz w:val="24"/>
          <w:szCs w:val="24"/>
        </w:rPr>
        <w:t>；</w:t>
      </w:r>
      <w:r>
        <w:rPr>
          <w:rFonts w:hint="eastAsia"/>
          <w:bCs/>
          <w:sz w:val="24"/>
        </w:rPr>
        <w:t xml:space="preserve"> </w:t>
      </w:r>
    </w:p>
    <w:p w14:paraId="26FA87B5" w14:textId="77777777" w:rsidR="00BC7646" w:rsidRDefault="00000000">
      <w:pPr>
        <w:spacing w:line="360" w:lineRule="auto"/>
        <w:ind w:firstLineChars="200" w:firstLine="480"/>
        <w:rPr>
          <w:bCs/>
          <w:sz w:val="24"/>
        </w:rPr>
      </w:pPr>
      <w:r>
        <w:rPr>
          <w:rFonts w:hint="eastAsia"/>
          <w:bCs/>
          <w:sz w:val="24"/>
        </w:rPr>
        <w:t>（</w:t>
      </w:r>
      <w:r>
        <w:rPr>
          <w:rFonts w:hint="eastAsia"/>
          <w:bCs/>
          <w:sz w:val="24"/>
        </w:rPr>
        <w:t>1</w:t>
      </w:r>
      <w:r>
        <w:rPr>
          <w:bCs/>
          <w:sz w:val="24"/>
        </w:rPr>
        <w:t>6</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14:paraId="7434EB6A" w14:textId="77777777" w:rsidR="00BC7646" w:rsidRDefault="00000000">
      <w:pPr>
        <w:spacing w:line="360" w:lineRule="auto"/>
        <w:ind w:firstLineChars="200" w:firstLine="480"/>
        <w:rPr>
          <w:bCs/>
          <w:sz w:val="24"/>
        </w:rPr>
      </w:pPr>
      <w:r>
        <w:rPr>
          <w:rFonts w:hint="eastAsia"/>
          <w:bCs/>
          <w:sz w:val="24"/>
        </w:rPr>
        <w:t>（</w:t>
      </w:r>
      <w:r>
        <w:rPr>
          <w:rFonts w:hint="eastAsia"/>
          <w:bCs/>
          <w:sz w:val="24"/>
        </w:rPr>
        <w:t>1</w:t>
      </w:r>
      <w:r>
        <w:rPr>
          <w:bCs/>
          <w:sz w:val="24"/>
        </w:rPr>
        <w:t>7</w:t>
      </w:r>
      <w:r>
        <w:rPr>
          <w:rFonts w:hint="eastAsia"/>
          <w:bCs/>
          <w:sz w:val="24"/>
        </w:rPr>
        <w:t>）法律法规及中国证监会规定的和基金合同约定的其他投资限制。</w:t>
      </w:r>
    </w:p>
    <w:p w14:paraId="2D383858" w14:textId="77777777" w:rsidR="00BC7646" w:rsidRDefault="00000000">
      <w:pPr>
        <w:spacing w:line="360" w:lineRule="auto"/>
        <w:ind w:firstLineChars="200" w:firstLine="480"/>
        <w:rPr>
          <w:bCs/>
          <w:sz w:val="24"/>
        </w:rPr>
      </w:pPr>
      <w:r>
        <w:rPr>
          <w:rFonts w:hint="eastAsia"/>
          <w:bCs/>
          <w:sz w:val="24"/>
        </w:rPr>
        <w:lastRenderedPageBreak/>
        <w:t>除上述第（</w:t>
      </w:r>
      <w:r>
        <w:rPr>
          <w:rFonts w:hint="eastAsia"/>
          <w:bCs/>
          <w:sz w:val="24"/>
        </w:rPr>
        <w:t>2</w:t>
      </w:r>
      <w:r>
        <w:rPr>
          <w:rFonts w:hint="eastAsia"/>
          <w:bCs/>
          <w:sz w:val="24"/>
        </w:rPr>
        <w:t>）项、第（</w:t>
      </w:r>
      <w:r>
        <w:rPr>
          <w:bCs/>
          <w:sz w:val="24"/>
        </w:rPr>
        <w:t>6</w:t>
      </w:r>
      <w:r>
        <w:rPr>
          <w:rFonts w:hint="eastAsia"/>
          <w:bCs/>
          <w:sz w:val="24"/>
        </w:rPr>
        <w:t>）项、第（</w:t>
      </w:r>
      <w:r>
        <w:rPr>
          <w:rFonts w:hint="eastAsia"/>
          <w:bCs/>
          <w:sz w:val="24"/>
        </w:rPr>
        <w:t>11</w:t>
      </w:r>
      <w:r>
        <w:rPr>
          <w:rFonts w:hint="eastAsia"/>
          <w:bCs/>
          <w:sz w:val="24"/>
        </w:rPr>
        <w:t>）项、第（</w:t>
      </w:r>
      <w:r>
        <w:rPr>
          <w:rFonts w:hint="eastAsia"/>
          <w:bCs/>
          <w:sz w:val="24"/>
        </w:rPr>
        <w:t>1</w:t>
      </w:r>
      <w:r>
        <w:rPr>
          <w:bCs/>
          <w:sz w:val="24"/>
        </w:rPr>
        <w:t>6</w:t>
      </w:r>
      <w:r>
        <w:rPr>
          <w:rFonts w:hint="eastAsia"/>
          <w:bCs/>
          <w:sz w:val="24"/>
        </w:rPr>
        <w:t>）项外，因证券、期货市场波动、证券发行人合并、基金规模变动等基金管理人之外的因素致使基金投资比例不符合上述规定投资比例的，基金管理人应当在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个交易日内进行调整，但中国证监会规定的特殊情形除外。法律法规另有规定的，从其规定。</w:t>
      </w:r>
    </w:p>
    <w:p w14:paraId="60D6651A" w14:textId="77777777" w:rsidR="00BC7646" w:rsidRDefault="00000000">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1BF18E2F" w14:textId="77777777" w:rsidR="00BC7646" w:rsidRDefault="00000000">
      <w:pPr>
        <w:spacing w:line="360" w:lineRule="auto"/>
        <w:ind w:firstLineChars="200" w:firstLine="480"/>
        <w:rPr>
          <w:bCs/>
          <w:sz w:val="24"/>
        </w:rPr>
      </w:pPr>
      <w:r>
        <w:rPr>
          <w:rFonts w:hint="eastAsia"/>
          <w:bCs/>
          <w:sz w:val="24"/>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1CE85E98"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3、基金托管人根据有关法律法规的规定及基金合同的约定，对本托管协议项下的基金投资禁止行为进行监督。基金托管人通过事后监督方式对基金管理人基金投资禁止行为进行监督。</w:t>
      </w:r>
    </w:p>
    <w:p w14:paraId="1981A591"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为维护基金份额持有人的合法权益，基金财产不得用于下列投资或者活动：</w:t>
      </w:r>
    </w:p>
    <w:p w14:paraId="1DB975EF"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（1）承销证券；</w:t>
      </w:r>
    </w:p>
    <w:p w14:paraId="6EEE0586"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（2）违反规定向他人贷款或者提供担保；</w:t>
      </w:r>
    </w:p>
    <w:p w14:paraId="3C56CC42"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（3）从事承担无限责任的投资；</w:t>
      </w:r>
    </w:p>
    <w:p w14:paraId="68E6CD13"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（4）买卖其他基金份额，但是中国证监会另有规定的除外；</w:t>
      </w:r>
    </w:p>
    <w:p w14:paraId="79564E94"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（5）向其基金管理人、基金托管人出资；</w:t>
      </w:r>
    </w:p>
    <w:p w14:paraId="7F118D8E"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（6）从事内幕交易、操纵证券交易价格及其他不正当的证券交易活动；</w:t>
      </w:r>
    </w:p>
    <w:p w14:paraId="5F708249"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（7）法律、行政法规和中国证监会规定禁止的其他活动。</w:t>
      </w:r>
    </w:p>
    <w:p w14:paraId="7A43148A" w14:textId="77777777" w:rsidR="00BC7646" w:rsidRDefault="00000000">
      <w:pPr>
        <w:spacing w:line="360" w:lineRule="auto"/>
        <w:ind w:firstLineChars="200" w:firstLine="480"/>
        <w:rPr>
          <w:rFonts w:ascii="Times New Roman" w:hAnsi="Times New Roman"/>
          <w:sz w:val="24"/>
          <w:szCs w:val="22"/>
        </w:rPr>
      </w:pPr>
      <w:r>
        <w:rPr>
          <w:rFonts w:ascii="Times New Roman" w:hAnsi="Times New Roman" w:hint="eastAsia"/>
          <w:sz w:val="24"/>
          <w:szCs w:val="22"/>
        </w:rPr>
        <w:t>法律法规或监管部门取消或</w:t>
      </w:r>
      <w:r>
        <w:rPr>
          <w:rFonts w:ascii="Times New Roman" w:hAnsi="Times New Roman"/>
          <w:sz w:val="24"/>
          <w:szCs w:val="22"/>
        </w:rPr>
        <w:t>变更</w:t>
      </w:r>
      <w:r>
        <w:rPr>
          <w:rFonts w:ascii="Times New Roman" w:hAnsi="Times New Roman" w:hint="eastAsia"/>
          <w:sz w:val="24"/>
          <w:szCs w:val="22"/>
        </w:rPr>
        <w:t>上述</w:t>
      </w:r>
      <w:r>
        <w:rPr>
          <w:rFonts w:ascii="Times New Roman" w:hAnsi="Times New Roman" w:hint="eastAsia"/>
          <w:bCs/>
          <w:sz w:val="24"/>
          <w:szCs w:val="20"/>
        </w:rPr>
        <w:t>限制</w:t>
      </w:r>
      <w:r>
        <w:rPr>
          <w:rFonts w:ascii="Times New Roman" w:hAnsi="Times New Roman" w:hint="eastAsia"/>
          <w:sz w:val="24"/>
          <w:szCs w:val="22"/>
        </w:rPr>
        <w:t>，如适用于本基金，基金管理人在履行适当程序后，则本基金投资不再受相关限制或</w:t>
      </w:r>
      <w:r>
        <w:rPr>
          <w:rFonts w:ascii="Times New Roman" w:hAnsi="Times New Roman" w:hint="eastAsia"/>
          <w:bCs/>
          <w:sz w:val="24"/>
          <w:szCs w:val="20"/>
        </w:rPr>
        <w:t>按</w:t>
      </w:r>
      <w:r>
        <w:rPr>
          <w:rFonts w:ascii="Times New Roman" w:hAnsi="Times New Roman"/>
          <w:sz w:val="24"/>
          <w:szCs w:val="22"/>
        </w:rPr>
        <w:t>变更后的规定</w:t>
      </w:r>
      <w:r>
        <w:rPr>
          <w:rFonts w:ascii="Times New Roman" w:hAnsi="Times New Roman"/>
          <w:bCs/>
          <w:sz w:val="24"/>
          <w:szCs w:val="20"/>
        </w:rPr>
        <w:t>执行</w:t>
      </w:r>
      <w:r>
        <w:rPr>
          <w:rFonts w:ascii="Times New Roman" w:hAnsi="Times New Roman" w:hint="eastAsia"/>
          <w:sz w:val="24"/>
          <w:szCs w:val="22"/>
        </w:rPr>
        <w:t>。</w:t>
      </w:r>
    </w:p>
    <w:p w14:paraId="7A77F328"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（二）基金托管人对基金投资银行存款进行监督</w:t>
      </w:r>
    </w:p>
    <w:p w14:paraId="66B83DA4" w14:textId="15B2D656" w:rsidR="00BC7646" w:rsidRDefault="00000000" w:rsidP="00CB1710">
      <w:pPr>
        <w:spacing w:line="360" w:lineRule="auto"/>
        <w:ind w:firstLineChars="200" w:firstLine="480"/>
        <w:rPr>
          <w:rFonts w:ascii="宋体" w:hAnsi="宋体" w:cs="Arial"/>
          <w:sz w:val="24"/>
        </w:rPr>
      </w:pPr>
      <w:r>
        <w:rPr>
          <w:rFonts w:ascii="宋体" w:hAnsi="宋体" w:cs="Arial" w:hint="eastAsia"/>
          <w:sz w:val="24"/>
        </w:rPr>
        <w:t>基金管理人、基金托管人应当与存款银行建立定期对账机制，确保基金银行存款业务账目及核算的真实、准确。</w:t>
      </w:r>
      <w:r w:rsidR="00CB1710">
        <w:rPr>
          <w:rFonts w:ascii="宋体" w:hAnsi="宋体" w:cs="Arial" w:hint="eastAsia"/>
          <w:sz w:val="24"/>
        </w:rPr>
        <w:t>基金托管人应根据有关相关法规及协议对基金银行存款业务进行监督与核查，严格审查、复核相关协议、账户资料、投资指令、存款证实书等有关文件，切实履行托管职责。</w:t>
      </w:r>
    </w:p>
    <w:p w14:paraId="45219D03"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lastRenderedPageBreak/>
        <w:t>基金管理人与基金托管人在开展基金存款业务时，应严格遵守《基金法》、《运作办法》等有关法律法规，以及国家有关账户管理、利率管理、支付结算等的各项规定。</w:t>
      </w:r>
    </w:p>
    <w:p w14:paraId="35914D2A"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基金投资银行存款的，基金管理人应根据法律法规的规定及基金合同的约定，确定符合条件的所有存款银行的名单，并及时提供给基金托管人，基金托管人应据以对基金投资银行存款的交易对手是否符合有关规定进行监督。如基金管理人在基金投资运作之前未向基金托管人提供存款银行名单的，视为基金管理人认可所有银行。</w:t>
      </w:r>
    </w:p>
    <w:p w14:paraId="224A0C44"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因基金管理人过错需提前支取定期存款而造成基金财产的损失由基金管理人承担。</w:t>
      </w:r>
    </w:p>
    <w:p w14:paraId="0DC55589"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三）基金托管人根据有关法律法规的规定及《基金合同》的约定，对基金管理人参与银行间债券市场进行监督。基金管理人应在基金投资运作之前向基金托管人提供符合法律法规及行业标准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如基金管理人在基金投资运作之前未向基金托管人提供银行间债券市场交易对手名单的，视为基金管理人认可全市场交易对手。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Pr>
          <w:rFonts w:ascii="宋体" w:hAnsi="宋体" w:cs="Arial"/>
          <w:sz w:val="24"/>
        </w:rPr>
        <w:t>3个交易</w:t>
      </w:r>
      <w:proofErr w:type="gramStart"/>
      <w:r>
        <w:rPr>
          <w:rFonts w:ascii="宋体" w:hAnsi="宋体" w:cs="Arial"/>
          <w:sz w:val="24"/>
        </w:rPr>
        <w:t>日内与</w:t>
      </w:r>
      <w:proofErr w:type="gramEnd"/>
      <w:r>
        <w:rPr>
          <w:rFonts w:ascii="宋体" w:hAnsi="宋体" w:cs="Arial"/>
          <w:sz w:val="24"/>
        </w:rPr>
        <w:t>基金托管人协商解决。</w:t>
      </w:r>
    </w:p>
    <w:p w14:paraId="666F3186"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基金管理人负责对交易对手的资信控制，按银行间债券市场的交易规则进行交易，并负责解决因交易对手不履行合同而造成的纠纷及损失，基金托管人不承担由此造成的相应法律责任及损失。若未履约的交易对手在基金托管人与基金管理人确定的时间前仍未承担违约责任及其他相关法律责任的，基金管理人有权向相关交易对手追偿，基金托管人应予以必要的协助与配合。基金托管人则根据银</w:t>
      </w:r>
      <w:r>
        <w:rPr>
          <w:rFonts w:ascii="宋体" w:hAnsi="宋体" w:cs="Arial" w:hint="eastAsia"/>
          <w:sz w:val="24"/>
        </w:rPr>
        <w:lastRenderedPageBreak/>
        <w:t>行间债券市场成交单对合同履行情况进行监督。如基金托管人事后发现基金管理人没有按照事先约定的交易对手进行交易时，基金托管人应及时提醒基金管理人，基金托管人在履行其通知义务后，基金托管人不承担由此造成的相应损失和责任。如果基金托管人未能切实履行监督职责，导致基金出现风险或造成基金资产损失的，基金托管人应承担相应责任。</w:t>
      </w:r>
    </w:p>
    <w:p w14:paraId="52CBC9D4"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（四）基金托管人依据有关法律法规的规定、基金合同和本托管协议的约定对于基金关联交易进行监督。</w:t>
      </w:r>
    </w:p>
    <w:p w14:paraId="6F0AB649" w14:textId="77777777" w:rsidR="00BC7646" w:rsidRDefault="00000000">
      <w:pPr>
        <w:spacing w:line="360" w:lineRule="auto"/>
        <w:ind w:firstLineChars="200" w:firstLine="480"/>
        <w:rPr>
          <w:rFonts w:ascii="宋体" w:hAnsi="宋体" w:cs="Arial"/>
          <w:sz w:val="24"/>
        </w:rPr>
      </w:pPr>
      <w:r>
        <w:rPr>
          <w:rFonts w:ascii="宋体" w:hAnsi="宋体" w:cs="Arial"/>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w:t>
      </w:r>
      <w:r>
        <w:rPr>
          <w:rFonts w:ascii="宋体" w:hAnsi="宋体" w:cs="Arial" w:hint="eastAsia"/>
          <w:sz w:val="24"/>
        </w:rPr>
        <w:t>，但法律法规另有规定的除外</w:t>
      </w:r>
      <w:r>
        <w:rPr>
          <w:rFonts w:ascii="宋体" w:hAnsi="宋体" w:cs="Arial"/>
          <w:sz w:val="24"/>
        </w:rPr>
        <w:t>。重大关联交易应提交基金管理人董事会审议，并经过三分之二以上的独立董事通过。基金管理人董事会应至少每半年对关联交易事项进行审查。</w:t>
      </w:r>
    </w:p>
    <w:p w14:paraId="08FFFA6C" w14:textId="08D565E1" w:rsidR="00BC7646" w:rsidRDefault="00000000">
      <w:pPr>
        <w:spacing w:line="360" w:lineRule="auto"/>
        <w:ind w:firstLineChars="200" w:firstLine="480"/>
        <w:rPr>
          <w:rFonts w:ascii="宋体" w:hAnsi="宋体" w:cs="Arial"/>
          <w:sz w:val="24"/>
        </w:rPr>
      </w:pPr>
      <w:r>
        <w:rPr>
          <w:rFonts w:ascii="宋体" w:hAnsi="宋体" w:cs="Arial" w:hint="eastAsia"/>
          <w:sz w:val="24"/>
        </w:rPr>
        <w:t>根据法律法规有关基金从事的关联交易的规定，基金管理人和基金托管人应事先相互提供与本机构有控股关系的股东、实际控制人或者与其有其他重大利害关系的公司名单及有关关联</w:t>
      </w:r>
      <w:proofErr w:type="gramStart"/>
      <w:r>
        <w:rPr>
          <w:rFonts w:ascii="宋体" w:hAnsi="宋体" w:cs="Arial" w:hint="eastAsia"/>
          <w:sz w:val="24"/>
        </w:rPr>
        <w:t>方发行</w:t>
      </w:r>
      <w:proofErr w:type="gramEnd"/>
      <w:r>
        <w:rPr>
          <w:rFonts w:ascii="宋体" w:hAnsi="宋体" w:cs="Arial" w:hint="eastAsia"/>
          <w:sz w:val="24"/>
        </w:rPr>
        <w:t>的证券名单，并确保所提供的关联交易名单的真实性、完整性、全面性。基金管理人及基金托管人有责任保管真实、完整、全面的关联交易名单，并负责及时更新该名单。名单变更后基金管理人及基金托管人应及时书面通知另一方，自变更通知到达另一方时，新的关联交易名单开始生效。</w:t>
      </w:r>
    </w:p>
    <w:p w14:paraId="5F36A3ED"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（五）基金托管人应当依照法律法规和基金合同约定，对侧</w:t>
      </w:r>
      <w:proofErr w:type="gramStart"/>
      <w:r>
        <w:rPr>
          <w:rFonts w:ascii="宋体" w:hAnsi="宋体" w:cs="Arial" w:hint="eastAsia"/>
          <w:sz w:val="24"/>
        </w:rPr>
        <w:t>袋机制</w:t>
      </w:r>
      <w:proofErr w:type="gramEnd"/>
      <w:r>
        <w:rPr>
          <w:rFonts w:ascii="宋体" w:hAnsi="宋体" w:cs="Arial" w:hint="eastAsia"/>
          <w:sz w:val="24"/>
        </w:rPr>
        <w:t>启用、特定资产处置和信息披露等方面进行复核和监督。</w:t>
      </w:r>
    </w:p>
    <w:p w14:paraId="4E3B98C2"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5F602643" w14:textId="7DB22AE6" w:rsidR="00BC7646" w:rsidRDefault="00000000">
      <w:pPr>
        <w:spacing w:line="360" w:lineRule="auto"/>
        <w:ind w:firstLineChars="200" w:firstLine="480"/>
        <w:rPr>
          <w:rFonts w:ascii="宋体" w:hAnsi="宋体" w:cs="Arial"/>
          <w:sz w:val="24"/>
        </w:rPr>
      </w:pPr>
      <w:r>
        <w:rPr>
          <w:rFonts w:ascii="宋体" w:hAnsi="宋体" w:cs="Arial" w:hint="eastAsia"/>
          <w:sz w:val="24"/>
        </w:rPr>
        <w:t>（七）基金托管人发现基金管理人的上述事项及投资指令或实际投资运作违</w:t>
      </w:r>
      <w:r>
        <w:rPr>
          <w:rFonts w:ascii="宋体" w:hAnsi="宋体" w:cs="Arial" w:hint="eastAsia"/>
          <w:sz w:val="24"/>
        </w:rPr>
        <w:lastRenderedPageBreak/>
        <w:t>反法律法规、《基金合同》和本托管协议的规定，应及时以电话提醒、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06A8C5BD"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如果基金托管人因自身原因未能切实履行监督职责，导致基金出现风险或造成基金资产损失的，基金托管人应承担相应责任。</w:t>
      </w:r>
    </w:p>
    <w:p w14:paraId="13B69EA2"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八）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5FF05E74"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（九）</w:t>
      </w:r>
      <w:proofErr w:type="gramStart"/>
      <w:r>
        <w:rPr>
          <w:rFonts w:ascii="宋体" w:hAnsi="宋体" w:cs="Arial" w:hint="eastAsia"/>
          <w:sz w:val="24"/>
        </w:rPr>
        <w:t>若基金</w:t>
      </w:r>
      <w:proofErr w:type="gramEnd"/>
      <w:r>
        <w:rPr>
          <w:rFonts w:ascii="宋体" w:hAnsi="宋体" w:cs="Arial" w:hint="eastAsia"/>
          <w:sz w:val="24"/>
        </w:rPr>
        <w:t>托管人发现基金管理人依据交易程序已经生效的指令违反法律、行政法规和其他有关规定，或者违反基金合同约定的，应当立即通知基金管理人及时纠正，由此造成的损失由基金管理人承担，基金托管人在履行其通知义务及本协议约定的监督义务后，予以免责。</w:t>
      </w:r>
    </w:p>
    <w:p w14:paraId="23646B6C"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E79DB8F" w14:textId="77777777" w:rsidR="00BC7646" w:rsidRDefault="00000000">
      <w:pPr>
        <w:pStyle w:val="2"/>
        <w:spacing w:beforeLines="100" w:before="312" w:afterLines="50" w:after="156" w:line="360" w:lineRule="auto"/>
        <w:jc w:val="center"/>
        <w:rPr>
          <w:rFonts w:ascii="Times New Roman" w:eastAsia="宋体" w:hAnsi="Times New Roman"/>
          <w:sz w:val="24"/>
          <w:szCs w:val="24"/>
        </w:rPr>
      </w:pPr>
      <w:bookmarkStart w:id="11" w:name="_Toc86225291"/>
      <w:bookmarkStart w:id="12" w:name="_Toc110830492"/>
      <w:bookmarkStart w:id="13" w:name="_Toc86726439"/>
      <w:bookmarkStart w:id="14" w:name="_Toc119402710"/>
      <w:bookmarkStart w:id="15" w:name="_Toc86223242"/>
      <w:bookmarkStart w:id="16" w:name="_Toc118972648"/>
      <w:bookmarkStart w:id="17" w:name="_Toc86727355"/>
      <w:bookmarkStart w:id="18" w:name="_Toc110765660"/>
      <w:bookmarkStart w:id="19" w:name="_Toc118212950"/>
      <w:bookmarkStart w:id="20" w:name="_Toc110761796"/>
      <w:bookmarkStart w:id="21" w:name="_Toc89163368"/>
      <w:bookmarkStart w:id="22" w:name="_Toc108512358"/>
      <w:bookmarkStart w:id="23" w:name="_Toc86649722"/>
      <w:bookmarkStart w:id="24" w:name="_Toc118774803"/>
      <w:bookmarkStart w:id="25" w:name="_Toc120435783"/>
      <w:bookmarkStart w:id="26" w:name="_Toc86737929"/>
      <w:r>
        <w:rPr>
          <w:rFonts w:ascii="Times New Roman" w:eastAsia="宋体" w:hAnsi="Times New Roman"/>
          <w:sz w:val="24"/>
          <w:szCs w:val="24"/>
        </w:rPr>
        <w:br w:type="page"/>
      </w:r>
      <w:bookmarkStart w:id="27" w:name="_Toc348082032"/>
      <w:bookmarkStart w:id="28" w:name="_Toc69371526"/>
      <w:r>
        <w:rPr>
          <w:rFonts w:ascii="Times New Roman" w:eastAsia="宋体" w:hAnsi="Times New Roman" w:hint="eastAsia"/>
          <w:sz w:val="24"/>
          <w:szCs w:val="24"/>
        </w:rPr>
        <w:lastRenderedPageBreak/>
        <w:t>四、基金管理人对基金托管人的业务核查</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03E8E82D"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一）基金管理人对基金托管人履行托管职责情况进行核查，核查事项包括但不限于基金托管人安全保管基金财产、开设基金财产的托管资金账户、证券账户等投资所需的其他账户、复核基金管理人计算的基金资产净值和各类基金份额净值、根据基金管理人指令办理清算交收、相关信息披露和监督基金投资运作等行为。</w:t>
      </w:r>
    </w:p>
    <w:p w14:paraId="191FB70E"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70BE4A1B"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w:t>
      </w:r>
      <w:proofErr w:type="gramStart"/>
      <w:r>
        <w:rPr>
          <w:rFonts w:ascii="宋体" w:hAnsi="宋体" w:cs="Arial" w:hint="eastAsia"/>
          <w:sz w:val="24"/>
        </w:rPr>
        <w:t>供基金</w:t>
      </w:r>
      <w:proofErr w:type="gramEnd"/>
      <w:r>
        <w:rPr>
          <w:rFonts w:ascii="宋体" w:hAnsi="宋体" w:cs="Arial" w:hint="eastAsia"/>
          <w:sz w:val="24"/>
        </w:rPr>
        <w:t>管理人核查托管财产的完整性和真实性。</w:t>
      </w:r>
    </w:p>
    <w:p w14:paraId="4F2DEC96" w14:textId="77777777" w:rsidR="00BC7646" w:rsidRDefault="00000000">
      <w:pPr>
        <w:spacing w:line="360" w:lineRule="auto"/>
        <w:ind w:firstLineChars="200" w:firstLine="480"/>
        <w:rPr>
          <w:sz w:val="24"/>
        </w:rPr>
      </w:pPr>
      <w:r>
        <w:rPr>
          <w:rFonts w:ascii="宋体" w:hAnsi="宋体" w:cs="Arial" w:hint="eastAsia"/>
          <w:sz w:val="24"/>
        </w:rPr>
        <w:t>（四）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2FDA1D38" w14:textId="77777777" w:rsidR="00BC7646" w:rsidRDefault="00000000">
      <w:pPr>
        <w:pStyle w:val="2"/>
        <w:spacing w:beforeLines="100" w:before="312" w:afterLines="50" w:after="156" w:line="360" w:lineRule="auto"/>
        <w:jc w:val="center"/>
        <w:rPr>
          <w:rFonts w:ascii="Times New Roman" w:eastAsia="宋体" w:hAnsi="Times New Roman"/>
          <w:sz w:val="24"/>
          <w:szCs w:val="24"/>
        </w:rPr>
      </w:pPr>
      <w:bookmarkStart w:id="29" w:name="_Toc118212951"/>
      <w:bookmarkStart w:id="30" w:name="_Toc86727356"/>
      <w:bookmarkStart w:id="31" w:name="_Toc86737930"/>
      <w:bookmarkStart w:id="32" w:name="_Toc108512359"/>
      <w:bookmarkStart w:id="33" w:name="_Toc89163369"/>
      <w:bookmarkStart w:id="34" w:name="_Toc84234435"/>
      <w:bookmarkStart w:id="35" w:name="_Toc86204789"/>
      <w:bookmarkStart w:id="36" w:name="_Toc118972649"/>
      <w:bookmarkStart w:id="37" w:name="_Toc110830493"/>
      <w:bookmarkStart w:id="38" w:name="_Toc118774804"/>
      <w:bookmarkStart w:id="39" w:name="_Toc86223243"/>
      <w:bookmarkStart w:id="40" w:name="_Toc120435784"/>
      <w:bookmarkStart w:id="41" w:name="_Toc84234388"/>
      <w:bookmarkStart w:id="42" w:name="_Toc119402711"/>
      <w:bookmarkStart w:id="43" w:name="_Toc86726440"/>
      <w:bookmarkStart w:id="44" w:name="_Toc110765661"/>
      <w:bookmarkStart w:id="45" w:name="_Toc86649723"/>
      <w:bookmarkStart w:id="46" w:name="_Toc110761797"/>
      <w:bookmarkStart w:id="47" w:name="_Toc86225292"/>
      <w:bookmarkStart w:id="48" w:name="_Toc84133786"/>
      <w:r>
        <w:rPr>
          <w:rFonts w:ascii="Times New Roman" w:eastAsia="宋体" w:hAnsi="Times New Roman"/>
          <w:sz w:val="24"/>
          <w:szCs w:val="24"/>
        </w:rPr>
        <w:br w:type="page"/>
      </w:r>
      <w:bookmarkStart w:id="49" w:name="_Toc348082033"/>
      <w:bookmarkStart w:id="50" w:name="_Toc69371527"/>
      <w:r>
        <w:rPr>
          <w:rFonts w:ascii="Times New Roman" w:eastAsia="宋体" w:hAnsi="Times New Roman" w:hint="eastAsia"/>
          <w:sz w:val="24"/>
          <w:szCs w:val="24"/>
        </w:rPr>
        <w:lastRenderedPageBreak/>
        <w:t>五、基金财产的保管</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5D9FC84E"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（一）基金财产保管的原则</w:t>
      </w:r>
    </w:p>
    <w:p w14:paraId="55D445CE"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1、基金财产应独立于基金管理人、基金托管人、证券经纪机构的固有财产。</w:t>
      </w:r>
    </w:p>
    <w:p w14:paraId="4B86D823"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2、基金托管人应安全保管基金财产。</w:t>
      </w:r>
    </w:p>
    <w:p w14:paraId="0F1E8A90"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3、基金托管人按照规定开设基金财产的托管资金账户、证券账户等投资所需的其他账户。</w:t>
      </w:r>
    </w:p>
    <w:p w14:paraId="21B6739B"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4、基金托管人对所托管的不同基金财产分别设置账户，与基金托管人的其他业务和其他基金的托管业务实行严格的分账管理，确保基金财产的完整与独立。</w:t>
      </w:r>
    </w:p>
    <w:p w14:paraId="6F7DCB1C"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5、基金托管人根据基金管理人的指令，按照基金合同和本协议的约定保管基金财产。未经基金管理人的正当指令，不得自行运用、处分、分配基金的任何资产。</w:t>
      </w:r>
    </w:p>
    <w:p w14:paraId="47E5EE27"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6、对于因为基金投资产生的应收资产，应由基金管理人负责与有关当事人确定到账日期并通知基金托管人，到账日基金财产没有到达基金托管资金账户的，基金托管人应及时通知基金管理人采取措施进行催收。由此给基金财产造成损失的，基金管理人应负责向有关当事人追偿基金财产的损失，基金托管人应予以必要的协助与配合，但对此不承担相应责任。</w:t>
      </w:r>
    </w:p>
    <w:p w14:paraId="5AEE271B"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7、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14:paraId="7D5F27F2"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8、除依据法律法规和基金合同的规定外，基金托管人不得委托第三人托管基金财产。</w:t>
      </w:r>
    </w:p>
    <w:p w14:paraId="468C79C2"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（二）基金募集期间及募集资金的验资</w:t>
      </w:r>
    </w:p>
    <w:p w14:paraId="1627D149"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1、基金募集期间募集的资金应存于基金管理人开立的</w:t>
      </w:r>
      <w:r>
        <w:rPr>
          <w:rFonts w:ascii="宋体" w:hAnsi="宋体" w:cs="Arial"/>
          <w:sz w:val="24"/>
        </w:rPr>
        <w:t>“</w:t>
      </w:r>
      <w:r>
        <w:rPr>
          <w:rFonts w:ascii="宋体" w:hAnsi="宋体" w:cs="Arial" w:hint="eastAsia"/>
          <w:sz w:val="24"/>
        </w:rPr>
        <w:t>基金募集专户</w:t>
      </w:r>
      <w:r>
        <w:rPr>
          <w:rFonts w:ascii="宋体" w:hAnsi="宋体" w:cs="Arial"/>
          <w:sz w:val="24"/>
        </w:rPr>
        <w:t>”</w:t>
      </w:r>
      <w:r>
        <w:rPr>
          <w:rFonts w:ascii="宋体" w:hAnsi="宋体" w:cs="Arial" w:hint="eastAsia"/>
          <w:sz w:val="24"/>
        </w:rPr>
        <w:t>。该账户由基金管理人开立并管理。</w:t>
      </w:r>
    </w:p>
    <w:p w14:paraId="10948DC7"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2、基金募集期满或基金停止募集时，</w:t>
      </w:r>
      <w:r>
        <w:rPr>
          <w:rFonts w:ascii="宋体" w:hAnsi="宋体" w:cs="Arial"/>
          <w:sz w:val="24"/>
        </w:rPr>
        <w:t>募集的基金份额总额、基金募集金额、基金份额持有人人数</w:t>
      </w:r>
      <w:r>
        <w:rPr>
          <w:rFonts w:ascii="宋体" w:hAnsi="宋体" w:cs="Arial" w:hint="eastAsia"/>
          <w:sz w:val="24"/>
        </w:rPr>
        <w:t>符合《基金法》、《运作办法》、基金合同等有关规定后，基金管理人应将属于基金财产的全部资金划入基金托管人为基金开立的基金托管资金账户，同时在规定时间内，基金管理人应聘</w:t>
      </w:r>
      <w:proofErr w:type="gramStart"/>
      <w:r>
        <w:rPr>
          <w:rFonts w:ascii="宋体" w:hAnsi="宋体" w:cs="Arial" w:hint="eastAsia"/>
          <w:sz w:val="24"/>
        </w:rPr>
        <w:t>请符合</w:t>
      </w:r>
      <w:proofErr w:type="gramEnd"/>
      <w:r>
        <w:rPr>
          <w:rFonts w:ascii="宋体" w:hAnsi="宋体" w:cs="Arial" w:hint="eastAsia"/>
          <w:sz w:val="24"/>
        </w:rPr>
        <w:t>《中华人民共和国证券</w:t>
      </w:r>
      <w:r>
        <w:rPr>
          <w:rFonts w:ascii="宋体" w:hAnsi="宋体" w:cs="Arial" w:hint="eastAsia"/>
          <w:sz w:val="24"/>
        </w:rPr>
        <w:lastRenderedPageBreak/>
        <w:t>法》规定的会计师事务所进行验资，出具验资报告。出具的验资报告由参加验资的2名或2名以上中国注册会计师签字方为有效。</w:t>
      </w:r>
    </w:p>
    <w:p w14:paraId="2E0FBDDF"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3、</w:t>
      </w:r>
      <w:proofErr w:type="gramStart"/>
      <w:r>
        <w:rPr>
          <w:rFonts w:ascii="宋体" w:hAnsi="宋体" w:cs="Arial" w:hint="eastAsia"/>
          <w:sz w:val="24"/>
        </w:rPr>
        <w:t>若基金</w:t>
      </w:r>
      <w:proofErr w:type="gramEnd"/>
      <w:r>
        <w:rPr>
          <w:rFonts w:ascii="宋体" w:hAnsi="宋体" w:cs="Arial" w:hint="eastAsia"/>
          <w:sz w:val="24"/>
        </w:rPr>
        <w:t>募集期限届满，未能达到基金合同生效的条件，由基金管理人按规定办理退款等事宜，基金托管人应提供充分协助。基金管理人、基金托管人和销售机构为基金募集支付之一切费用应由各方各自承担。</w:t>
      </w:r>
    </w:p>
    <w:p w14:paraId="2CF3DECB"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（三）基金托管资金账户的开立和管理</w:t>
      </w:r>
    </w:p>
    <w:p w14:paraId="22B6CFDD"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1、基金托管人以本基金的名义在其营业机构开立基金的托管资金账户（也称“托管账户”），保管基金的银行存款，并根据基金管理人的指令办理资金收付。托管账户名称应为“兴华安聚纯债债券型证券投资基金”（以实际开立为准），预留印鉴为基金托管人印章。</w:t>
      </w:r>
    </w:p>
    <w:p w14:paraId="5A511B03"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2、基金托管资金账户的开立和使用，限于满足开展本基金业务的需要。基金托管人和基金管理人不得假借本基金的名义开立任何其他银行账户；亦不得使用基金的任何其他银行账户进行本基金业务以外的活动。</w:t>
      </w:r>
    </w:p>
    <w:p w14:paraId="74863819"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3、基金托管资金账户的开立和管理应符合法律法规及银行业监督管理机构的有关规定。</w:t>
      </w:r>
    </w:p>
    <w:p w14:paraId="5C231A81"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（四）基金证券账户的开立和管理</w:t>
      </w:r>
    </w:p>
    <w:p w14:paraId="49BCB7C8"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1、基金托管人在中国证券登记结算有限责任公司上海分公司、深圳分公司为基金开立基金托管人与基金联名的证券账户。</w:t>
      </w:r>
    </w:p>
    <w:p w14:paraId="67E3433A"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4970487"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3、基金证券账户的开立和证券账户卡的保管由基金托管人负责，账户资产的管理和运用由基金管理人负责。</w:t>
      </w:r>
    </w:p>
    <w:p w14:paraId="00957D92" w14:textId="77777777" w:rsidR="00BC7646" w:rsidRDefault="00000000">
      <w:pPr>
        <w:spacing w:line="360" w:lineRule="auto"/>
        <w:ind w:firstLineChars="200" w:firstLine="480"/>
        <w:rPr>
          <w:rFonts w:ascii="宋体" w:hAnsi="宋体" w:cs="Arial"/>
          <w:sz w:val="24"/>
        </w:rPr>
      </w:pPr>
      <w:r>
        <w:rPr>
          <w:rFonts w:ascii="宋体" w:hAnsi="宋体" w:cs="Arial"/>
          <w:sz w:val="24"/>
        </w:rPr>
        <w:t>4</w:t>
      </w:r>
      <w:r>
        <w:rPr>
          <w:rFonts w:ascii="宋体" w:hAnsi="宋体" w:cs="Arial" w:hint="eastAsia"/>
          <w:sz w:val="24"/>
        </w:rPr>
        <w:t>、若中国证监会或其他监管机构在本托管协议订立日之后允许基金从事其他投资品种的投资业务，涉及相关账户的开立、使用的，按有关规定开立、使用并管理；若无相关规定，</w:t>
      </w:r>
      <w:proofErr w:type="gramStart"/>
      <w:r>
        <w:rPr>
          <w:rFonts w:ascii="宋体" w:hAnsi="宋体" w:cs="Arial" w:hint="eastAsia"/>
          <w:sz w:val="24"/>
        </w:rPr>
        <w:t>则基金</w:t>
      </w:r>
      <w:proofErr w:type="gramEnd"/>
      <w:r>
        <w:rPr>
          <w:rFonts w:ascii="宋体" w:hAnsi="宋体" w:cs="Arial" w:hint="eastAsia"/>
          <w:sz w:val="24"/>
        </w:rPr>
        <w:t>托管人比照上述关于账户开立、使用的规定执行。</w:t>
      </w:r>
    </w:p>
    <w:p w14:paraId="01FF0B4E"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（五）证券资金账户的开立与管理</w:t>
      </w:r>
    </w:p>
    <w:p w14:paraId="30616AD5"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基金管理人以基金名义在基金管理人选择的证券经营机构营业网点开立证券资金账户。证券经营机构根据相关法律法规、规范性文件为本基金开立证券资</w:t>
      </w:r>
      <w:r>
        <w:rPr>
          <w:rFonts w:ascii="宋体" w:hAnsi="宋体" w:cs="Arial" w:hint="eastAsia"/>
          <w:sz w:val="24"/>
        </w:rPr>
        <w:lastRenderedPageBreak/>
        <w:t>金账户，并按照该证券经营机构开户的流程和要求与基金管理人签订相关协议。</w:t>
      </w:r>
    </w:p>
    <w:p w14:paraId="244C34E6"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1.交易所证券交易资金采用第三方存管模式，即用于证券交易的结算资金全额存放在基金管理人为基金开立的证券资金账户中，场内的证券交易资金清算由基金管理人所选择的证券经营机构负责。证券资金账户内的资金，只能通过证银转账方式将资金划转至基金托管资金账户，不得将资金划转至任何其他银行账户。基金托管人不负责办理场内的证券交易资金清算，也不负责保管证券资金账户内存放的资金。</w:t>
      </w:r>
    </w:p>
    <w:p w14:paraId="1A9619A3" w14:textId="77777777" w:rsidR="00BC7646" w:rsidRDefault="00000000">
      <w:pPr>
        <w:spacing w:line="360" w:lineRule="auto"/>
        <w:ind w:firstLineChars="200" w:firstLine="480"/>
        <w:rPr>
          <w:rFonts w:ascii="宋体" w:hAnsi="宋体" w:cs="Arial"/>
          <w:sz w:val="24"/>
        </w:rPr>
      </w:pPr>
      <w:r>
        <w:rPr>
          <w:rFonts w:ascii="宋体" w:hAnsi="宋体" w:cs="Arial"/>
          <w:sz w:val="24"/>
        </w:rPr>
        <w:t>2.</w:t>
      </w:r>
      <w:r>
        <w:rPr>
          <w:rFonts w:ascii="宋体" w:hAnsi="宋体" w:cs="Arial" w:hint="eastAsia"/>
          <w:sz w:val="24"/>
        </w:rPr>
        <w:t>专用清算户：基金托管人为本基金在指定的具有三方存管资质的存管银行开立的银行结算账户。该账户与托管账户建立唯一对应关系，与基金管理人为基金开设的证券资金账户建立唯一对应关系。</w:t>
      </w:r>
    </w:p>
    <w:p w14:paraId="0B623548"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（六）债券托管专户的开设和管理</w:t>
      </w:r>
    </w:p>
    <w:p w14:paraId="51A2C9AF"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基金合同生效后，基金托管人根据中国人民银行、中央国债登记结算有限责任公司和银行间市场清算所股份有限公司的有关规定，以基金的名义在银行间市场登记托管结算机构开立债券托管账户、持有人账户和资金结算账户，并代表基金进行银行间市场债券的结算。基金管理人代表基金签订全国银行间债券市场债券回购主协议。</w:t>
      </w:r>
    </w:p>
    <w:p w14:paraId="6D201B72"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（七）定期存款账户</w:t>
      </w:r>
    </w:p>
    <w:p w14:paraId="03C9D6E9"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基金财产投资定期存款在存款机构开立的银行账户，包括实体或虚拟账户，其预留印鉴经各方商议后预留。本着便于本基金的安全保管和日常监督核查的原则，存款行应尽量选择基金托管人经办行所在地的分支机构。对于任何的定期存款投资，基金管理人都必须和存款机构签订定期存款协议，约定双方的权利和义务，该协议作为划款指令附件。</w:t>
      </w:r>
      <w:r>
        <w:rPr>
          <w:rFonts w:ascii="宋体" w:hAnsi="宋体" w:hint="eastAsia"/>
          <w:sz w:val="24"/>
          <w:lang w:bidi="ar"/>
        </w:rPr>
        <w:t>该协议中必须有如下明确条款：“存款证实书、存单不得以任何方式被质押，并不得用于转让和背书；本息到期归还或提前支取的所有款项必须划至托管专户（明确户名、开户行、账号等），不得划入其他任何账户”。如定期存款协议中未体现前述条款，基金托管人有权拒绝定期存款投资的划款指令。存款证实书送达基金托管人或从基金托管人处支取，原则上要求存款银行或基金管理人授权相关人员亲自上门办理。若采用邮寄等第三方机构传递，基金托管人不承担</w:t>
      </w:r>
      <w:r>
        <w:rPr>
          <w:rFonts w:ascii="宋体" w:hAnsi="宋体" w:cs="Arial" w:hint="eastAsia"/>
          <w:sz w:val="24"/>
        </w:rPr>
        <w:t>由此可能造成的调换、丢失、延误等责任。在取得存款证实书、存单后，基金托管人保管证实书、存单正本，基金托管人不对存款证实书</w:t>
      </w:r>
      <w:r>
        <w:rPr>
          <w:rFonts w:ascii="宋体" w:hAnsi="宋体" w:cs="Arial" w:hint="eastAsia"/>
          <w:sz w:val="24"/>
        </w:rPr>
        <w:lastRenderedPageBreak/>
        <w:t>的真实性负责。基金管理人应该在合理的时间内进行定期存款的投资和支取事宜，</w:t>
      </w:r>
      <w:proofErr w:type="gramStart"/>
      <w:r>
        <w:rPr>
          <w:rFonts w:ascii="宋体" w:hAnsi="宋体" w:cs="Arial" w:hint="eastAsia"/>
          <w:sz w:val="24"/>
        </w:rPr>
        <w:t>若基金</w:t>
      </w:r>
      <w:proofErr w:type="gramEnd"/>
      <w:r>
        <w:rPr>
          <w:rFonts w:ascii="宋体" w:hAnsi="宋体" w:cs="Arial" w:hint="eastAsia"/>
          <w:sz w:val="24"/>
        </w:rPr>
        <w:t>管理人提前支取或部分提前支取定期存款，</w:t>
      </w:r>
      <w:proofErr w:type="gramStart"/>
      <w:r>
        <w:rPr>
          <w:rFonts w:ascii="宋体" w:hAnsi="宋体" w:cs="Arial" w:hint="eastAsia"/>
          <w:sz w:val="24"/>
        </w:rPr>
        <w:t>若产生息</w:t>
      </w:r>
      <w:proofErr w:type="gramEnd"/>
      <w:r>
        <w:rPr>
          <w:rFonts w:ascii="宋体" w:hAnsi="宋体" w:cs="Arial" w:hint="eastAsia"/>
          <w:sz w:val="24"/>
        </w:rPr>
        <w:t>差（即本基金已计提的资金利息和提前支取时收到的资金利息差额），该息差的处理方法由基金管理人和基金托管人双方协商解决。</w:t>
      </w:r>
    </w:p>
    <w:p w14:paraId="71464ABC"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（八）其他账户的开立和管理</w:t>
      </w:r>
    </w:p>
    <w:p w14:paraId="30AE00F0"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1、因业务发展需要而开立的其他账户，可以根据法律法规和基金合同的规定，由基金管理人协助基金托管人按照有关法律法规和本协议的约定协商后开立。新账户按有关规定使用并管理。</w:t>
      </w:r>
    </w:p>
    <w:p w14:paraId="1E66CDBB"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2、法律法规等有关规定对相关账户的开立和管理另有规定的，从其规定办理。</w:t>
      </w:r>
    </w:p>
    <w:p w14:paraId="68EF50E7"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（九）基金财产投资的有关有价凭证等的保管</w:t>
      </w:r>
    </w:p>
    <w:p w14:paraId="3FFFA32E"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基金财产投资的有关实物证券等有价凭证按约定由基金托管人存放于基金托管人的保管库，或存入中央国债登记结算有限责任公司、中国证券登记结算有限责任公司上海分公司/深圳分公司、银行间市场清算所股份有限公司、中国证券登记结算有限责任公司或票据营业中心的代保管库，保管凭证由基金托管人持有。实物证券等有价凭证的购买和转让，由基金托管人根据基金管理人的指令办理。属于基金托管人实际有效控制下的实物证券在基金托管人保管期间的损坏、灭失，由此产生的责任应由基金托管人承担。基金托管人对由基金托管人以外机构实际有效控制的证券不承担保管责任。</w:t>
      </w:r>
    </w:p>
    <w:p w14:paraId="4D23FFD1"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（十）与基金财产有关的重大合同的保管</w:t>
      </w:r>
    </w:p>
    <w:p w14:paraId="7919C22C"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尽量保证基金管理人和基金托管人至少各持有一份正本的原件。基金管理人应在重大合同签署后及时以加密方式将重大合同通过传真或电子邮件发送给基金托管人，并在三十个工作日内将正本送达基金托管人处。因基金管理人发送的合同传真件与事后送达的合同原件不一致所造成的后果，由基金管理人负责。重大合同的保管期限不低于法律法规规定的最低期限。</w:t>
      </w:r>
    </w:p>
    <w:p w14:paraId="6C3B1C99" w14:textId="77777777" w:rsidR="00BC7646" w:rsidRDefault="00000000">
      <w:pPr>
        <w:spacing w:line="360" w:lineRule="auto"/>
        <w:ind w:firstLine="420"/>
        <w:rPr>
          <w:sz w:val="24"/>
        </w:rPr>
      </w:pPr>
      <w:r>
        <w:rPr>
          <w:sz w:val="24"/>
        </w:rPr>
        <w:lastRenderedPageBreak/>
        <w:t>对于无二份以上的正本的，基金管理人应向基金托管人提供加盖公章的合同传真件或复印件，未经双方协商一致，合同原件不得转移。</w:t>
      </w:r>
    </w:p>
    <w:p w14:paraId="32C51B49" w14:textId="77777777" w:rsidR="00BC7646" w:rsidRDefault="00000000">
      <w:pPr>
        <w:pStyle w:val="2"/>
        <w:spacing w:beforeLines="100" w:before="312" w:afterLines="50" w:after="156" w:line="360" w:lineRule="auto"/>
        <w:jc w:val="center"/>
      </w:pPr>
      <w:bookmarkStart w:id="51" w:name="_Toc86737931"/>
      <w:bookmarkStart w:id="52" w:name="_Toc89163370"/>
      <w:bookmarkStart w:id="53" w:name="_Toc86726441"/>
      <w:bookmarkStart w:id="54" w:name="_Toc118774805"/>
      <w:bookmarkStart w:id="55" w:name="_Toc84234389"/>
      <w:bookmarkStart w:id="56" w:name="_Toc118972650"/>
      <w:bookmarkStart w:id="57" w:name="_Toc108512360"/>
      <w:bookmarkStart w:id="58" w:name="_Toc86223244"/>
      <w:bookmarkStart w:id="59" w:name="_Toc348082034"/>
      <w:bookmarkStart w:id="60" w:name="_Toc84133787"/>
      <w:bookmarkStart w:id="61" w:name="_Toc84234436"/>
      <w:bookmarkStart w:id="62" w:name="_Toc110761798"/>
      <w:bookmarkStart w:id="63" w:name="_Toc86204790"/>
      <w:bookmarkStart w:id="64" w:name="_Toc86649724"/>
      <w:bookmarkStart w:id="65" w:name="_Toc86225293"/>
      <w:bookmarkStart w:id="66" w:name="_Toc119402712"/>
      <w:bookmarkStart w:id="67" w:name="_Toc118212952"/>
      <w:bookmarkStart w:id="68" w:name="_Toc86727357"/>
      <w:bookmarkStart w:id="69" w:name="_Toc120435785"/>
      <w:bookmarkStart w:id="70" w:name="_Toc110830494"/>
      <w:bookmarkStart w:id="71" w:name="_Toc110765662"/>
      <w:r>
        <w:rPr>
          <w:rFonts w:ascii="Times New Roman" w:eastAsia="宋体" w:hAnsi="Times New Roman"/>
          <w:sz w:val="24"/>
          <w:szCs w:val="24"/>
        </w:rPr>
        <w:br w:type="page"/>
      </w:r>
      <w:bookmarkStart w:id="72" w:name="_Toc69371528"/>
      <w:r>
        <w:rPr>
          <w:rFonts w:ascii="Times New Roman" w:eastAsia="宋体" w:hAnsi="Times New Roman" w:hint="eastAsia"/>
          <w:sz w:val="24"/>
          <w:szCs w:val="24"/>
        </w:rPr>
        <w:lastRenderedPageBreak/>
        <w:t>六、指令的发送、确认及执行</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4EB4832E"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基金管理人在运用基金财产开展场内证券交易时，必须向基金托管人发送划款指令，要求基金托管人通过基金托管账户与证券资金账户已建立的第三方存管系统实现基金托管账户与证券资金账户之间的资金划转，</w:t>
      </w:r>
      <w:proofErr w:type="gramStart"/>
      <w:r>
        <w:rPr>
          <w:rFonts w:ascii="宋体" w:hAnsi="宋体" w:cs="Arial" w:hint="eastAsia"/>
          <w:sz w:val="24"/>
        </w:rPr>
        <w:t>即银证互</w:t>
      </w:r>
      <w:proofErr w:type="gramEnd"/>
      <w:r>
        <w:rPr>
          <w:rFonts w:ascii="宋体" w:hAnsi="宋体" w:cs="Arial" w:hint="eastAsia"/>
          <w:sz w:val="24"/>
        </w:rPr>
        <w:t>转。</w:t>
      </w:r>
    </w:p>
    <w:p w14:paraId="7E19565F"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基金管理人在运用基金财产开展场外交易时，应向基金托管人发送场外交易资金划拨及其他款项付款指令，基金托管人执行基金管理人的指令、办理基金名下的资金往来等有关事项。</w:t>
      </w:r>
    </w:p>
    <w:p w14:paraId="2D137279"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基金管理人发送的指令包括电子指令、纸质指令或双方认可的其他形式。</w:t>
      </w:r>
    </w:p>
    <w:p w14:paraId="5E1B5E74" w14:textId="77777777" w:rsidR="00BC7646" w:rsidRDefault="00000000">
      <w:pPr>
        <w:spacing w:line="360" w:lineRule="auto"/>
        <w:ind w:firstLineChars="200" w:firstLine="480"/>
        <w:rPr>
          <w:rFonts w:ascii="宋体" w:hAnsi="宋体" w:cs="Arial"/>
          <w:sz w:val="24"/>
        </w:rPr>
      </w:pPr>
      <w:proofErr w:type="gramStart"/>
      <w:r>
        <w:rPr>
          <w:rFonts w:ascii="宋体" w:hAnsi="宋体" w:cs="Arial" w:hint="eastAsia"/>
          <w:sz w:val="24"/>
        </w:rPr>
        <w:t>若基金</w:t>
      </w:r>
      <w:proofErr w:type="gramEnd"/>
      <w:r>
        <w:rPr>
          <w:rFonts w:ascii="宋体" w:hAnsi="宋体" w:cs="Arial" w:hint="eastAsia"/>
          <w:sz w:val="24"/>
        </w:rPr>
        <w:t>管理人已与基金托管人建立</w:t>
      </w:r>
      <w:proofErr w:type="gramStart"/>
      <w:r>
        <w:rPr>
          <w:rFonts w:ascii="宋体" w:hAnsi="宋体" w:cs="Arial" w:hint="eastAsia"/>
          <w:sz w:val="24"/>
        </w:rPr>
        <w:t>深证通指令</w:t>
      </w:r>
      <w:proofErr w:type="gramEnd"/>
      <w:r>
        <w:rPr>
          <w:rFonts w:ascii="宋体" w:hAnsi="宋体" w:cs="Arial" w:hint="eastAsia"/>
          <w:sz w:val="24"/>
        </w:rPr>
        <w:t>直连或其他以电子形式发送的指令，基金管理人应优先以电子指令形式向基金托管人发送指令，并应事先书面向基金托管人指定各业务类型投资指令的发送主渠道，以传真或电子邮件作为应急方式备用。</w:t>
      </w:r>
    </w:p>
    <w:p w14:paraId="5B036174"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（一）基金管理人对发送指令人员的书面授权</w:t>
      </w:r>
    </w:p>
    <w:p w14:paraId="2BBE8CC3"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授权通知的内容：基金管理人应事先向基金托管人提供书面授权通知（以下称“授权通知”），指定指令的被授权人员及被授权印鉴，授权通知的内容包括被授权人的名单、签章样本、权限和预留印鉴。授权通知应加盖基金管理人公司公章并写明生效时间。基金管理人应使用传真、电子邮件或其他与基金托管人协商一致的方式向基金托管人发出授权通知，同时电话通知基金托管人。授权通知经基金管理人与基金托管人以电话方式或其他基金管理人和基金托管人认可的方式确认后，于授权通知载明的生效时间生效。基金管理人在此后三个工作日内将授权通知的正本送交基金托管人。授权通知正本内容与基金托管人收到的传真或扫描件不一致的，以基金托管人收到的传真或扫描件为准。</w:t>
      </w:r>
    </w:p>
    <w:p w14:paraId="482AE4B7"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基金管理人和基金托管人对授权通知负有保密义务，其内容不得向授权人、被授权人及相关操作人员以外的任何人泄露，但法律法规规定或有权机关另有要求的除外。</w:t>
      </w:r>
    </w:p>
    <w:p w14:paraId="30950C16"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（二）指令的内容</w:t>
      </w:r>
    </w:p>
    <w:p w14:paraId="60FD6608"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投资指令是在管理本基金时，基金管理人向基金托管人发出的交易成交单、交易指令及资金划拨类指令（以下简称“指令”）。指令应加盖预留印鉴并由被授权人签章。基金管理人发给基金托管人的资金划拨类指令应写明款项事由、时</w:t>
      </w:r>
      <w:r>
        <w:rPr>
          <w:rFonts w:ascii="宋体" w:hAnsi="宋体" w:cs="Arial" w:hint="eastAsia"/>
          <w:sz w:val="24"/>
        </w:rPr>
        <w:lastRenderedPageBreak/>
        <w:t>间、金额、出款和收款账户信息等。有效划款指令是指指令要素（包括付款人、付款账号、收款人、收款账号、金额（大、小写）、款项事由、支付时间）准确无误、预留印鉴相符、相关的指令附件齐全且头寸充足的划款指令。</w:t>
      </w:r>
    </w:p>
    <w:p w14:paraId="74402A07"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（三）指令的发送、确认及执行的时间和程序</w:t>
      </w:r>
    </w:p>
    <w:p w14:paraId="5C9948AD"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1、指令的发送：基金管理人应按照相关法律法规以及本协议的规定，在其合法的经营权限和交易权限内依照授权通知的授权用传真方式或其他基金托管人和基金管理人认可的方式向基金托管人发送。基金管理人在发送指令时，应确保相关出款账户有足够的资金余额，并为基金托管人留出执行指令所必需的时间。</w:t>
      </w:r>
    </w:p>
    <w:p w14:paraId="7F85F1AE"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任何基金管理人通过恒丰银行托管系统直连服务发送的电子指令即作为基金管理人真实发起交易办理时的电子凭证，由基金管理人承担相应法律责任。对于网络传输过程中的非与基金托管人相关的外界因素导致电子指令被篡改的，基金托管人不承担相应责任。基金管理人发出的电子指令到达基金托管人且经基金托管人处理完毕后，基金管理人不得要求变更或撤销。基金管理人若发现账户变动与其实际交易操作不符，应在知道或应当知道错误发生之日起5个工作日内以书面形式通知基金托管人，在通知中应说明错误可能发生的原因、有关的账号、金额等具体情况。基金托管人应在自接到通知之日起7个工作日内告知基金管理人调查结果。如该错误确已发生并系由基金托管</w:t>
      </w:r>
      <w:proofErr w:type="gramStart"/>
      <w:r>
        <w:rPr>
          <w:rFonts w:ascii="宋体" w:hAnsi="宋体" w:cs="Arial" w:hint="eastAsia"/>
          <w:sz w:val="24"/>
        </w:rPr>
        <w:t>人原因</w:t>
      </w:r>
      <w:proofErr w:type="gramEnd"/>
      <w:r>
        <w:rPr>
          <w:rFonts w:ascii="宋体" w:hAnsi="宋体" w:cs="Arial" w:hint="eastAsia"/>
          <w:sz w:val="24"/>
        </w:rPr>
        <w:t>造成，基金托管人应在告知基金管理人调查结果后3个工作日对错误加以纠正。如该错误由基金管理</w:t>
      </w:r>
      <w:proofErr w:type="gramStart"/>
      <w:r>
        <w:rPr>
          <w:rFonts w:ascii="宋体" w:hAnsi="宋体" w:cs="Arial" w:hint="eastAsia"/>
          <w:sz w:val="24"/>
        </w:rPr>
        <w:t>人原因</w:t>
      </w:r>
      <w:proofErr w:type="gramEnd"/>
      <w:r>
        <w:rPr>
          <w:rFonts w:ascii="宋体" w:hAnsi="宋体" w:cs="Arial" w:hint="eastAsia"/>
          <w:sz w:val="24"/>
        </w:rPr>
        <w:t>造成，则由基金管理人自行负责。</w:t>
      </w:r>
    </w:p>
    <w:p w14:paraId="5095A270"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基金管理人在使用基金托管人恒丰银行托管系统直连服务时，应按照基金托管人发布接口的规范发送电子指令，基金管理人在托管系统直连服务中设置的基金管理人员和操作人员的一切行为（包括但不限于操作不当、欺诈、疏忽等）均由基金管理人负责。</w:t>
      </w:r>
    </w:p>
    <w:p w14:paraId="178570D7"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对于指定时间出款的交易指令，基金管理人应提前2小时将指令发送至基金托管人；</w:t>
      </w:r>
      <w:r>
        <w:rPr>
          <w:sz w:val="24"/>
        </w:rPr>
        <w:t>基金管理人在每个工作日的</w:t>
      </w:r>
      <w:r>
        <w:rPr>
          <w:sz w:val="24"/>
        </w:rPr>
        <w:t>15:00</w:t>
      </w:r>
      <w:r>
        <w:rPr>
          <w:sz w:val="24"/>
        </w:rPr>
        <w:t>以后发送的要求当日支付的有效划款指令，基金托管人应尽量完成，但不保证当天能够执行。有效划款指令是指指令要素（包括付款人、付款账号、收款人、收款账号、金额（大、小写）、款项事由、支付时间）准确无误、预留印鉴相符、相关的指令附件齐全且头寸充足的划款指令。</w:t>
      </w:r>
    </w:p>
    <w:p w14:paraId="7546ACE3"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lastRenderedPageBreak/>
        <w:t>2、指令的确认：基金管理人有义务在发送指令后与基金托管人进行电话或双方认可的方式确认。指令以获得基金托管人确认该指令已成功接收之时视为送达基金托管人。对于依照“授权通知”发出的指令，基金管理人不得否认其效力。</w:t>
      </w:r>
    </w:p>
    <w:p w14:paraId="336376ED"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3、指令的执行：基金托管人确认收到基金管理人发送的指令后，应对指令进行形式审查，验证指令的要素是否齐全，传真指令还应审核印鉴和签章是否和预留印鉴和签章样本相符，指令复核无误后应在规定期限内及时执行。</w:t>
      </w:r>
    </w:p>
    <w:p w14:paraId="09D642AF"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在指令未执行的前提下，</w:t>
      </w:r>
      <w:proofErr w:type="gramStart"/>
      <w:r>
        <w:rPr>
          <w:rFonts w:ascii="宋体" w:hAnsi="宋体" w:cs="Arial" w:hint="eastAsia"/>
          <w:sz w:val="24"/>
        </w:rPr>
        <w:t>若基金</w:t>
      </w:r>
      <w:proofErr w:type="gramEnd"/>
      <w:r>
        <w:rPr>
          <w:rFonts w:ascii="宋体" w:hAnsi="宋体" w:cs="Arial" w:hint="eastAsia"/>
          <w:sz w:val="24"/>
        </w:rPr>
        <w:t>管理人撤销指令，基金管理人应在原指令上注明“作废”并加盖预留印鉴及被授权人签章后传真给基金托管人，并电话通知基金托管人。</w:t>
      </w:r>
    </w:p>
    <w:p w14:paraId="7BC8EC37"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14:paraId="661B0678"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（四）基金管理人发送错误指令的情形和处理程序</w:t>
      </w:r>
    </w:p>
    <w:p w14:paraId="35D4199D"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1、基金管理人发送错误指令的情形包括指令发送人员无权或超越权限发送指令及交割信息错误，指令不能辨识或要素不全导致无法执行等情形。</w:t>
      </w:r>
    </w:p>
    <w:p w14:paraId="24E764B8"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2、当基金托管人认为所接受指令为错误指令时，应及时与基金管理人进行电话确认，暂停指令的执行并要求基金管理人重新发送指令。基金托管人有权要求基金管理人提供相关交易凭证、合同或其他有效会计资料，以确保基金托管人有足够的资料来判断指令的有效性。基金托管人待收齐相关资料并判断指令有效后重新开始执行指令。基金管理人应在合理时间内补充相关资料，并给基金托管人预留必要的执行时间，否则基金托管人对因此造成的延误不承担责任。</w:t>
      </w:r>
    </w:p>
    <w:p w14:paraId="5C0FA1A9"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（五）基金托管人依照法律法规暂缓、拒绝执行指令的情形和处理程序</w:t>
      </w:r>
    </w:p>
    <w:p w14:paraId="5EB9C0C9"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基金托管人发现基金管理人发送的指令有可能违反《基金法》、《运作办法》、《基金合同》、本协议或其他有关法律法规的规定时，应暂缓执行指令，并及时以电话提醒的方式通知基金管理人，基金管理人收到通知后应及时核对并纠正；如相关交易已生效，则应通知基金管理人在</w:t>
      </w:r>
      <w:r>
        <w:rPr>
          <w:rFonts w:ascii="宋体" w:hAnsi="宋体" w:cs="Arial"/>
          <w:sz w:val="24"/>
        </w:rPr>
        <w:t>10个工作日内纠正，并报告中国证监会</w:t>
      </w:r>
      <w:r>
        <w:rPr>
          <w:rFonts w:ascii="宋体" w:hAnsi="宋体" w:cs="Arial" w:hint="eastAsia"/>
          <w:sz w:val="24"/>
        </w:rPr>
        <w:t>。对于基金托管人事前难以监督的交易行为，基金托管人应在发现后事后通知基金管理人并及时向中国证监会报告。对于基金管理人</w:t>
      </w:r>
      <w:bookmarkStart w:id="73" w:name="_Hlk15998558"/>
      <w:r>
        <w:rPr>
          <w:rFonts w:ascii="宋体" w:hAnsi="宋体" w:cs="Arial" w:hint="eastAsia"/>
          <w:sz w:val="24"/>
        </w:rPr>
        <w:t>违反《基金法》、《运</w:t>
      </w:r>
      <w:r>
        <w:rPr>
          <w:rFonts w:ascii="宋体" w:hAnsi="宋体" w:cs="Arial" w:hint="eastAsia"/>
          <w:sz w:val="24"/>
        </w:rPr>
        <w:lastRenderedPageBreak/>
        <w:t>作办法》、《基金合同》、本协议或其他有关法律法规的规</w:t>
      </w:r>
      <w:bookmarkEnd w:id="73"/>
      <w:r>
        <w:rPr>
          <w:rFonts w:ascii="宋体" w:hAnsi="宋体" w:cs="Arial" w:hint="eastAsia"/>
          <w:sz w:val="24"/>
        </w:rPr>
        <w:t>定造成基金财产损失的，由基金管理人承担相应责任，基金托管人已切实履行监督职责的免于承担责任。</w:t>
      </w:r>
    </w:p>
    <w:p w14:paraId="1725CA8B"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（六）基金托管人未按照基金管理人指令执行的处理方法</w:t>
      </w:r>
    </w:p>
    <w:p w14:paraId="1FD80313"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对于基金管理人的有效指令，除非违反法律法规、基金合同、托管协议或具有第（四）项所述错误，基金托管人不得无故拒绝或拖延执行，否则应就基金或基金管理人由此产生的损失负赔偿责任。</w:t>
      </w:r>
    </w:p>
    <w:p w14:paraId="3CFABBCE"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除因故意或过失致使基金、基金管理人的利益受到损害而负赔偿责任外，基金托管人对执行基金管理人的合法指令对基金财产造成的损失不承担赔偿责任。</w:t>
      </w:r>
    </w:p>
    <w:p w14:paraId="7A03A7BF"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（七）更换被授权人员的程序</w:t>
      </w:r>
    </w:p>
    <w:p w14:paraId="79474963"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基金管理人撤换被授权人员或改变被授权人员的权限，必须提前至少一个交易日，使用传真方式或其他基金管理人和基金托管人认可的方式向基金托管人发出加盖基金管理人公司公章的书面变更通知，同时电话通知基金托管人。被授权人变更通知，经基金管理人与基金托管人以电话方式或其他基金管理人和基金托管人认可的方式确认后，于授权通知载明的生效时间生效，同时原授权通知失效。</w:t>
      </w:r>
      <w:proofErr w:type="gramStart"/>
      <w:r>
        <w:rPr>
          <w:rFonts w:ascii="宋体" w:hAnsi="宋体" w:cs="Arial" w:hint="eastAsia"/>
          <w:sz w:val="24"/>
        </w:rPr>
        <w:t>若基金</w:t>
      </w:r>
      <w:proofErr w:type="gramEnd"/>
      <w:r>
        <w:rPr>
          <w:rFonts w:ascii="宋体" w:hAnsi="宋体" w:cs="Arial" w:hint="eastAsia"/>
          <w:sz w:val="24"/>
        </w:rPr>
        <w:t>托管人收到授权通知的日期晚于其中注明的生效日期，授权通知自基金托管人收到的日期起开始生效。基金管理人在此后三个工作日内将被授权人变更通知的正本送交基金托管人。变更通知书书面正本内容与基金托管人收到的变更通知内容不一致的，以基金托管人收到的变更通知内容为准。</w:t>
      </w:r>
    </w:p>
    <w:p w14:paraId="3ED756AC"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基金托管人更换接收基金管理人指令的人员，应提前通知基金管理人。</w:t>
      </w:r>
    </w:p>
    <w:p w14:paraId="6624DA20"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（八）指令的保管</w:t>
      </w:r>
    </w:p>
    <w:p w14:paraId="2ED0EF11"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指令若以传真或扫描</w:t>
      </w:r>
      <w:proofErr w:type="gramStart"/>
      <w:r>
        <w:rPr>
          <w:rFonts w:ascii="宋体" w:hAnsi="宋体" w:cs="Arial" w:hint="eastAsia"/>
          <w:sz w:val="24"/>
        </w:rPr>
        <w:t>件形式</w:t>
      </w:r>
      <w:proofErr w:type="gramEnd"/>
      <w:r>
        <w:rPr>
          <w:rFonts w:ascii="宋体" w:hAnsi="宋体" w:cs="Arial" w:hint="eastAsia"/>
          <w:sz w:val="24"/>
        </w:rPr>
        <w:t>发出，则正本由基金管理人保管，基金托管人保管指令传真件或扫描件。当两者不一致时，以基金托管人收到的指令传真件或扫描件为准。</w:t>
      </w:r>
    </w:p>
    <w:p w14:paraId="2070392B"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（九）相关责任</w:t>
      </w:r>
    </w:p>
    <w:p w14:paraId="0C4DDFDF"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对基金管理人在没有充足资金的情况下向基金托管人发出的指令致使资金未能及时清算所造成的损失由基金管理人承担。因基金管理</w:t>
      </w:r>
      <w:proofErr w:type="gramStart"/>
      <w:r>
        <w:rPr>
          <w:rFonts w:ascii="宋体" w:hAnsi="宋体" w:cs="Arial" w:hint="eastAsia"/>
          <w:sz w:val="24"/>
        </w:rPr>
        <w:t>人原因</w:t>
      </w:r>
      <w:proofErr w:type="gramEnd"/>
      <w:r>
        <w:rPr>
          <w:rFonts w:ascii="宋体" w:hAnsi="宋体" w:cs="Arial" w:hint="eastAsia"/>
          <w:sz w:val="24"/>
        </w:rPr>
        <w:t>造成的传输不及时、未能留出足够执行时间、未能及时与基金托管人进行指令确认致使资金未能及时清算或交易失败所造成的损失由基金管理人承担。基金托管人按照《基金</w:t>
      </w:r>
      <w:r>
        <w:rPr>
          <w:rFonts w:ascii="宋体" w:hAnsi="宋体" w:cs="Arial" w:hint="eastAsia"/>
          <w:sz w:val="24"/>
        </w:rPr>
        <w:lastRenderedPageBreak/>
        <w:t>合同》、本协议及其他法律法规规定正确执行基金管理人发送的有效指令，基金财产发生损失的，基金托管人不承担相应责任。在正常业务受理渠道和指令规定的时间内，因基金托管</w:t>
      </w:r>
      <w:proofErr w:type="gramStart"/>
      <w:r>
        <w:rPr>
          <w:rFonts w:ascii="宋体" w:hAnsi="宋体" w:cs="Arial" w:hint="eastAsia"/>
          <w:sz w:val="24"/>
        </w:rPr>
        <w:t>人原因</w:t>
      </w:r>
      <w:proofErr w:type="gramEnd"/>
      <w:r>
        <w:rPr>
          <w:rFonts w:ascii="宋体" w:hAnsi="宋体" w:cs="Arial" w:hint="eastAsia"/>
          <w:sz w:val="24"/>
        </w:rPr>
        <w:t>造成未能及时或正确执行合法合</w:t>
      </w:r>
      <w:proofErr w:type="gramStart"/>
      <w:r>
        <w:rPr>
          <w:rFonts w:ascii="宋体" w:hAnsi="宋体" w:cs="Arial" w:hint="eastAsia"/>
          <w:sz w:val="24"/>
        </w:rPr>
        <w:t>规</w:t>
      </w:r>
      <w:proofErr w:type="gramEnd"/>
      <w:r>
        <w:rPr>
          <w:rFonts w:ascii="宋体" w:hAnsi="宋体" w:cs="Arial" w:hint="eastAsia"/>
          <w:sz w:val="24"/>
        </w:rPr>
        <w:t>的指令而导致基金财产受损的，基金托管人应承担相应的责任，但如遇到不可抗力的情况除外。</w:t>
      </w:r>
    </w:p>
    <w:p w14:paraId="229218CC"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基金托管人根据本协议相关规定履行形式审核职责，如果基金管理人的指令存在事实上未经授权、欺诈、伪造或未能及时提供授权通知等情形，基金托管人不承担因执行有关指令或拒绝执行有关指令而给基金管理人或基金资产或任何第三</w:t>
      </w:r>
      <w:proofErr w:type="gramStart"/>
      <w:r>
        <w:rPr>
          <w:rFonts w:ascii="宋体" w:hAnsi="宋体" w:cs="Arial" w:hint="eastAsia"/>
          <w:sz w:val="24"/>
        </w:rPr>
        <w:t>方带来</w:t>
      </w:r>
      <w:proofErr w:type="gramEnd"/>
      <w:r>
        <w:rPr>
          <w:rFonts w:ascii="宋体" w:hAnsi="宋体" w:cs="Arial" w:hint="eastAsia"/>
          <w:sz w:val="24"/>
        </w:rPr>
        <w:t>的损失，但基金托管人未按本协议约定</w:t>
      </w:r>
      <w:proofErr w:type="gramStart"/>
      <w:r>
        <w:rPr>
          <w:rFonts w:ascii="宋体" w:hAnsi="宋体" w:cs="Arial" w:hint="eastAsia"/>
          <w:sz w:val="24"/>
        </w:rPr>
        <w:t>尽形式</w:t>
      </w:r>
      <w:proofErr w:type="gramEnd"/>
      <w:r>
        <w:rPr>
          <w:rFonts w:ascii="宋体" w:hAnsi="宋体" w:cs="Arial" w:hint="eastAsia"/>
          <w:sz w:val="24"/>
        </w:rPr>
        <w:t>审核义务执行指令而造成损失的情形除外。</w:t>
      </w:r>
    </w:p>
    <w:p w14:paraId="59CE1915" w14:textId="77777777" w:rsidR="00BC7646" w:rsidRDefault="00BC7646">
      <w:pPr>
        <w:adjustRightInd w:val="0"/>
        <w:spacing w:line="360" w:lineRule="auto"/>
        <w:contextualSpacing/>
        <w:rPr>
          <w:rFonts w:cs="Arial"/>
          <w:sz w:val="24"/>
        </w:rPr>
      </w:pPr>
    </w:p>
    <w:p w14:paraId="52A525B3" w14:textId="77777777" w:rsidR="00BC7646" w:rsidRDefault="00000000">
      <w:pPr>
        <w:pStyle w:val="2"/>
        <w:spacing w:beforeLines="100" w:before="312" w:afterLines="50" w:after="156" w:line="360" w:lineRule="auto"/>
        <w:jc w:val="center"/>
        <w:rPr>
          <w:rFonts w:ascii="Times New Roman" w:eastAsia="宋体" w:hAnsi="Times New Roman"/>
          <w:sz w:val="24"/>
          <w:szCs w:val="24"/>
        </w:rPr>
      </w:pPr>
      <w:bookmarkStart w:id="74" w:name="_Toc86737932"/>
      <w:bookmarkStart w:id="75" w:name="_Toc86225294"/>
      <w:bookmarkStart w:id="76" w:name="_Toc118212953"/>
      <w:bookmarkStart w:id="77" w:name="_Toc84234390"/>
      <w:bookmarkStart w:id="78" w:name="_Toc108512361"/>
      <w:bookmarkStart w:id="79" w:name="_Toc120435786"/>
      <w:bookmarkStart w:id="80" w:name="_Toc86649725"/>
      <w:bookmarkStart w:id="81" w:name="_Toc86726442"/>
      <w:bookmarkStart w:id="82" w:name="_Toc86727358"/>
      <w:bookmarkStart w:id="83" w:name="_Toc84234437"/>
      <w:bookmarkStart w:id="84" w:name="_Toc119402713"/>
      <w:bookmarkStart w:id="85" w:name="_Toc84133788"/>
      <w:bookmarkStart w:id="86" w:name="_Toc110761799"/>
      <w:bookmarkStart w:id="87" w:name="_Toc86204791"/>
      <w:bookmarkStart w:id="88" w:name="_Toc89163371"/>
      <w:bookmarkStart w:id="89" w:name="_Toc110765663"/>
      <w:bookmarkStart w:id="90" w:name="_Toc110830495"/>
      <w:bookmarkStart w:id="91" w:name="_Toc118774806"/>
      <w:bookmarkStart w:id="92" w:name="_Toc86223245"/>
      <w:bookmarkStart w:id="93" w:name="_Toc118972651"/>
      <w:r>
        <w:rPr>
          <w:rFonts w:ascii="Times New Roman" w:eastAsia="宋体" w:hAnsi="Times New Roman"/>
          <w:sz w:val="24"/>
          <w:szCs w:val="24"/>
        </w:rPr>
        <w:br w:type="page"/>
      </w:r>
      <w:bookmarkStart w:id="94" w:name="_Toc69371529"/>
      <w:bookmarkStart w:id="95" w:name="_Toc348082035"/>
      <w:r>
        <w:rPr>
          <w:rFonts w:ascii="Times New Roman" w:eastAsia="宋体" w:hAnsi="Times New Roman" w:hint="eastAsia"/>
          <w:sz w:val="24"/>
          <w:szCs w:val="24"/>
        </w:rPr>
        <w:lastRenderedPageBreak/>
        <w:t>七、交易及清算交收安排</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24A43386"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（一）选择代理证券、期货买卖的证券、期货经营机构</w:t>
      </w:r>
    </w:p>
    <w:p w14:paraId="4A5959F2"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基金管理人负责选择代理本基金证券买卖的证券经营机构，由基金管理人与基金托管人及证券经营机构签订本基金的证券经纪服务协议，就基金参与场内证券交易、结算等具体事项另行签订协议。</w:t>
      </w:r>
    </w:p>
    <w:p w14:paraId="60DC7094" w14:textId="77777777" w:rsidR="00BC7646" w:rsidRDefault="00000000">
      <w:pPr>
        <w:pStyle w:val="Normal1"/>
        <w:spacing w:line="360" w:lineRule="auto"/>
        <w:ind w:firstLineChars="200" w:firstLine="480"/>
        <w:rPr>
          <w:rFonts w:ascii="宋体" w:hAnsi="宋体" w:cs="Arial"/>
          <w:sz w:val="24"/>
          <w:szCs w:val="24"/>
        </w:rPr>
      </w:pPr>
      <w:r>
        <w:rPr>
          <w:rFonts w:ascii="宋体" w:hAnsi="宋体" w:cs="Arial" w:hint="eastAsia"/>
          <w:sz w:val="24"/>
          <w:szCs w:val="24"/>
        </w:rPr>
        <w:t>基金管理人负责选择代理本基金国债期货的期货经纪机构，并与其签订期货经纪合同，其他事宜根据法律法规、《基金合同》的相关规定执行，若无明确规定的，可参照有关证券买卖、证券经纪商选择的规则执行。</w:t>
      </w:r>
    </w:p>
    <w:p w14:paraId="03D7CB8A"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（二）基金投资证券后的清算交收安排</w:t>
      </w:r>
    </w:p>
    <w:p w14:paraId="08A82495"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基金投资于证券发生的所有场外交易的清算交割，由基金托管人负责办理；基金投资于证券发生的所有场内交易的清算交割，由基金管理人负责委托代理证券买卖的证券经营机构根据相关登记结算公司的结算规则办理。</w:t>
      </w:r>
    </w:p>
    <w:p w14:paraId="35902B7E"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基金托管人负责基金场外买卖证券的清算交收，场外资金汇划由基金托管人根据基金管理人的场外交易划款指令具体办理。如果因为基金托管人故意或过失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Pr>
          <w:rFonts w:ascii="宋体" w:hAnsi="宋体" w:cs="Arial" w:hint="eastAsia"/>
          <w:sz w:val="24"/>
        </w:rPr>
        <w:t>券</w:t>
      </w:r>
      <w:proofErr w:type="gramEnd"/>
      <w:r>
        <w:rPr>
          <w:rFonts w:ascii="宋体" w:hAnsi="宋体" w:cs="Arial" w:hint="eastAsia"/>
          <w:sz w:val="24"/>
        </w:rPr>
        <w:t>欠库等原因造成基金投资清算困难和风险的，基金托管人发现后应立即以电话提醒的方式通知基金管理人，由基金管理人负责解决，由此给基金托管人、本基金和基金托管人托管的其他资产造成的直接损失由基金管理人承担。</w:t>
      </w:r>
    </w:p>
    <w:p w14:paraId="76E13F8F"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基金管理人应采取合理、必要措施，确保有足够的资金头寸完成投资交易资金结算。</w:t>
      </w:r>
    </w:p>
    <w:p w14:paraId="3A505965"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（三）银行间债券交易的清算交收安排</w:t>
      </w:r>
    </w:p>
    <w:p w14:paraId="378248B1"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1、基金管理人负责对交易对手的资信控制，按银行间债券市场的交易规则进行交易，并负责解决因交易对手不履行合同或不及时履行合同而造成的纠纷及损失，基金托管人不承担由此造成的相应法律责任及损失。</w:t>
      </w:r>
    </w:p>
    <w:p w14:paraId="1C2B6F57"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2、如果银行间中</w:t>
      </w:r>
      <w:proofErr w:type="gramStart"/>
      <w:r>
        <w:rPr>
          <w:rFonts w:ascii="宋体" w:hAnsi="宋体" w:cs="Arial" w:hint="eastAsia"/>
          <w:sz w:val="24"/>
        </w:rPr>
        <w:t>债综合</w:t>
      </w:r>
      <w:proofErr w:type="gramEnd"/>
      <w:r>
        <w:rPr>
          <w:rFonts w:ascii="宋体" w:hAnsi="宋体" w:cs="Arial" w:hint="eastAsia"/>
          <w:sz w:val="24"/>
        </w:rPr>
        <w:t>业务平台或上海清算</w:t>
      </w:r>
      <w:proofErr w:type="gramStart"/>
      <w:r>
        <w:rPr>
          <w:rFonts w:ascii="宋体" w:hAnsi="宋体" w:cs="Arial" w:hint="eastAsia"/>
          <w:sz w:val="24"/>
        </w:rPr>
        <w:t>所客户</w:t>
      </w:r>
      <w:proofErr w:type="gramEnd"/>
      <w:r>
        <w:rPr>
          <w:rFonts w:ascii="宋体" w:hAnsi="宋体" w:cs="Arial" w:hint="eastAsia"/>
          <w:sz w:val="24"/>
        </w:rPr>
        <w:t>终端系统已经生成的交</w:t>
      </w:r>
      <w:r>
        <w:rPr>
          <w:rFonts w:ascii="宋体" w:hAnsi="宋体" w:cs="Arial" w:hint="eastAsia"/>
          <w:sz w:val="24"/>
        </w:rPr>
        <w:lastRenderedPageBreak/>
        <w:t>易需要取消或终止，基金管理人要书面通知基金托管人。</w:t>
      </w:r>
    </w:p>
    <w:p w14:paraId="495B298E"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 xml:space="preserve">3、基金管理人发送有效指令（包括原指令被撤销、变更后再次发送的新指令）的截止时间为当天的15:00。15：00之后发送的指令，基金托管人会尽力配合，但不能保证当天划款成功。如基金管理人要求当天某一时点到账，则交易结算指令需提前2 </w:t>
      </w:r>
      <w:proofErr w:type="gramStart"/>
      <w:r>
        <w:rPr>
          <w:rFonts w:ascii="宋体" w:hAnsi="宋体" w:cs="Arial" w:hint="eastAsia"/>
          <w:sz w:val="24"/>
        </w:rPr>
        <w:t>个</w:t>
      </w:r>
      <w:proofErr w:type="gramEnd"/>
      <w:r>
        <w:rPr>
          <w:rFonts w:ascii="宋体" w:hAnsi="宋体" w:cs="Arial" w:hint="eastAsia"/>
          <w:sz w:val="24"/>
        </w:rPr>
        <w:t>工作小时发送，并进行电话确认。指令、成交单传输不及时、未能留出足够的操作时间，致使资金未能及时到账、债券未能及时交割所造成的损失由基金管理人承担。</w:t>
      </w:r>
    </w:p>
    <w:p w14:paraId="49561B54"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4、基金管理人向基金托管人下达指令时，应确保基金财产托管专户有足够的资金余额，对基金管理人在没有充足资金的情况下向基金托管人发出的指令，基金托管人可不予执行，并立即通知基金管理人，基金托管人不承担因为不执行该指令而造成损失的责任。基金管理人确认该指令不予取消的，资金备足并通知基金托管人的时间视为指令收到时间。</w:t>
      </w:r>
    </w:p>
    <w:p w14:paraId="07635131"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5、银行间交易结算方式采用券款对付的，托管专户与本基金在登记结算机构开立的DVP资金账户之间的资金调拨，除了登记结算机构系统自动将DVP资金账户资金退回至托管专户的之外，应当由基金管理人出具资金划款指令，基金托管人审核无误后执行。由于基金管理人未及时出具指令导致本基金在托管专户的头寸不足或者DVP资金账户头寸不足导致的损失，基金托管人不承担责任。</w:t>
      </w:r>
    </w:p>
    <w:p w14:paraId="082E78F4"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（四）基金申购、赎回和转换业务处理的基本规定</w:t>
      </w:r>
    </w:p>
    <w:p w14:paraId="79E2EC4C"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1、基金份额申购、赎回、转换的确认、清算由基金管理人或其委托的登记机构负责。</w:t>
      </w:r>
    </w:p>
    <w:p w14:paraId="119020A4"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2、基金管理人应将每个开放日的申购、赎回、转换开放式基金的数据传送给基金托管人。基金管理人应对传递的申购、赎回、转换开放式基金的数据真实性和准确性负责。基金托管人应及时查收申购及转入资金的到账情况并根据基金管理人指令及时划付赎回及转出款项。</w:t>
      </w:r>
    </w:p>
    <w:p w14:paraId="6140DEF6"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3、基金管理人应保证本基金（或本基金管理人委托）的登记机构每个工作日15:00前向基金托管人发送前一开放</w:t>
      </w:r>
      <w:proofErr w:type="gramStart"/>
      <w:r>
        <w:rPr>
          <w:rFonts w:ascii="宋体" w:hAnsi="宋体" w:cs="Arial" w:hint="eastAsia"/>
          <w:sz w:val="24"/>
        </w:rPr>
        <w:t>日上述</w:t>
      </w:r>
      <w:proofErr w:type="gramEnd"/>
      <w:r>
        <w:rPr>
          <w:rFonts w:ascii="宋体" w:hAnsi="宋体" w:cs="Arial" w:hint="eastAsia"/>
          <w:sz w:val="24"/>
        </w:rPr>
        <w:t>有关数据，并保证相关数据的准确、完整。</w:t>
      </w:r>
    </w:p>
    <w:p w14:paraId="10B663BA"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4、登记机构应通过与基金托管人建立的系统发送有关数据，由基金管理人向基金托管人发送有关数据，如因各种原因，该系统无法正常发送，双方可协商</w:t>
      </w:r>
      <w:r>
        <w:rPr>
          <w:rFonts w:ascii="宋体" w:hAnsi="宋体" w:cs="Arial" w:hint="eastAsia"/>
          <w:sz w:val="24"/>
        </w:rPr>
        <w:lastRenderedPageBreak/>
        <w:t>解决处理方式。基金管理人向基金托管人发送的数据，双方各自按有关规定保存。</w:t>
      </w:r>
    </w:p>
    <w:p w14:paraId="401CA0AD"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5、如基金管理人委托其他机构办理本基金的登记业务，应保证上述相关事宜按时进行。</w:t>
      </w:r>
    </w:p>
    <w:p w14:paraId="254CD8FA"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6、关于清算专用账户的设立和管理</w:t>
      </w:r>
    </w:p>
    <w:p w14:paraId="102CB747"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为满足申购、赎回、转换及分红资金汇划的需要，由基金管理人开立资金清算的专用账户，该账户由登记机构管理。</w:t>
      </w:r>
    </w:p>
    <w:p w14:paraId="1E7FEB13"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7、对于基金申购、转换过程中产生的应收款，应由基金管理人负责与有关当事人确定到账日期并通知基金托管人，到账日应收款没有到达基金托管资金账户的，基金托管人应及时以电话提醒的方式通知基金管理人采取措施进行催收，由此造成基金损失的，基金管理人应负责向有关当事人追偿基金的损失。</w:t>
      </w:r>
    </w:p>
    <w:p w14:paraId="2C69E7EF"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8、赎回、转换资金划付规定</w:t>
      </w:r>
    </w:p>
    <w:p w14:paraId="75F37FDB"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划付赎回款、转换转出款时，如基金托管资金账户有足够的资金，基金托管人应按时划付；因基金托管资金账户没有足够的资金，导致基金托管人不能按时划付，基金托管人应及时以电话提醒的方式通知基金管理人，基金托管人不承担责任，责任由基金管理人承担，基金托管人不承担垫款义务。</w:t>
      </w:r>
    </w:p>
    <w:p w14:paraId="197CF211"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9、资金指令</w:t>
      </w:r>
    </w:p>
    <w:p w14:paraId="695F333D"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除申购款项到达基金托管资金账户需双方按约定方式对账外，回购到期付款和与投资有关的付款、赎回和分红资金划拨时，基金管理人需向基金托管人下达指令。</w:t>
      </w:r>
    </w:p>
    <w:p w14:paraId="043DACCA"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资金指令的格式、内容、发送、接收和确认方式等与投资指令相同。</w:t>
      </w:r>
    </w:p>
    <w:p w14:paraId="4D1A7E00"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（五）资金净额结算</w:t>
      </w:r>
    </w:p>
    <w:p w14:paraId="0C609DD2"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基金托管账户与登记清算账户间的资金结算遵循“全额清算、净额交收”的原则，每日按照基金托管账户应收资金与应付资金的差额来确定基金托管账户净应收额或净应付额，以此确定资金交收额。如当日托管账户为净应收额时，基金管理人应在</w:t>
      </w:r>
      <w:proofErr w:type="gramStart"/>
      <w:r>
        <w:rPr>
          <w:rFonts w:ascii="宋体" w:hAnsi="宋体" w:cs="Arial" w:hint="eastAsia"/>
          <w:sz w:val="24"/>
        </w:rPr>
        <w:t>交收日</w:t>
      </w:r>
      <w:proofErr w:type="gramEnd"/>
      <w:r>
        <w:rPr>
          <w:rFonts w:ascii="宋体" w:hAnsi="宋体" w:cs="Arial" w:hint="eastAsia"/>
          <w:sz w:val="24"/>
        </w:rPr>
        <w:t>15：00之前从登记清算账户划到基金托管账户，基金托管人在资金到账后应立即通知基金管理人；如当日托管账户为净应付额时，基金管理人应在当日9:30前将划款指令发送给基金托管人，基金托管人按基金管理人的划款指令将托管账户净应付额在</w:t>
      </w:r>
      <w:proofErr w:type="gramStart"/>
      <w:r>
        <w:rPr>
          <w:rFonts w:ascii="宋体" w:hAnsi="宋体" w:cs="Arial" w:hint="eastAsia"/>
          <w:sz w:val="24"/>
        </w:rPr>
        <w:t>交收日</w:t>
      </w:r>
      <w:proofErr w:type="gramEnd"/>
      <w:r>
        <w:rPr>
          <w:rFonts w:ascii="宋体" w:hAnsi="宋体" w:cs="Arial" w:hint="eastAsia"/>
          <w:sz w:val="24"/>
        </w:rPr>
        <w:t>12：00之前</w:t>
      </w:r>
      <w:proofErr w:type="gramStart"/>
      <w:r>
        <w:rPr>
          <w:rFonts w:ascii="宋体" w:hAnsi="宋体" w:cs="Arial" w:hint="eastAsia"/>
          <w:sz w:val="24"/>
        </w:rPr>
        <w:t>划往登记</w:t>
      </w:r>
      <w:proofErr w:type="gramEnd"/>
      <w:r>
        <w:rPr>
          <w:rFonts w:ascii="宋体" w:hAnsi="宋体" w:cs="Arial" w:hint="eastAsia"/>
          <w:sz w:val="24"/>
        </w:rPr>
        <w:t>清算账户，基金托管人在资金划出后立即通知基金管理人。特殊情况时，双方协商处理。</w:t>
      </w:r>
    </w:p>
    <w:p w14:paraId="71933044" w14:textId="77777777" w:rsidR="00BC7646" w:rsidRDefault="00000000">
      <w:pPr>
        <w:spacing w:line="360" w:lineRule="auto"/>
        <w:ind w:firstLineChars="200" w:firstLine="480"/>
        <w:rPr>
          <w:rFonts w:ascii="宋体" w:hAnsi="宋体"/>
          <w:sz w:val="24"/>
        </w:rPr>
      </w:pPr>
      <w:r>
        <w:rPr>
          <w:rFonts w:ascii="宋体" w:hAnsi="宋体" w:hint="eastAsia"/>
          <w:sz w:val="24"/>
        </w:rPr>
        <w:lastRenderedPageBreak/>
        <w:t>如果当日基金为净应收款，基金托管人应及时查收资金是否到账，对于因基金管理人的原因未准时到账的资金，应及时通知基金管理人划付，由此产生的责任应由基金管理人承担。</w:t>
      </w:r>
    </w:p>
    <w:p w14:paraId="36AF9CA3" w14:textId="77777777" w:rsidR="00BC7646" w:rsidRDefault="00000000">
      <w:pPr>
        <w:spacing w:line="360" w:lineRule="auto"/>
        <w:ind w:firstLineChars="200" w:firstLine="480"/>
        <w:rPr>
          <w:rFonts w:ascii="宋体" w:hAnsi="宋体"/>
          <w:sz w:val="24"/>
        </w:rPr>
      </w:pPr>
      <w:r>
        <w:rPr>
          <w:rFonts w:ascii="宋体" w:hAnsi="宋体" w:hint="eastAsia"/>
          <w:sz w:val="24"/>
        </w:rPr>
        <w:t>如果当日基金为净应付款，基金托管人应根据基金管理人的指令及时进行划付。对于因基金托管人的原因未准时划付的资金，基金管理人应及时通知基金托管人划付，由此产生的责任应由基金托管人承担。</w:t>
      </w:r>
    </w:p>
    <w:p w14:paraId="0A18DD7A"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（六）基金转换</w:t>
      </w:r>
    </w:p>
    <w:p w14:paraId="76F55700"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1、在本基金与基金管理人管理的其它基金开展转换业务之前，基金管理人应函告基金托管人并就相关事宜进行协商。</w:t>
      </w:r>
    </w:p>
    <w:p w14:paraId="3D17985B"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2、基金托管人将根据基金管理人传送的基金转换数据进行账务处理，</w:t>
      </w:r>
      <w:proofErr w:type="gramStart"/>
      <w:r>
        <w:rPr>
          <w:rFonts w:ascii="宋体" w:hAnsi="宋体" w:cs="Arial" w:hint="eastAsia"/>
          <w:sz w:val="24"/>
        </w:rPr>
        <w:t>具体资金</w:t>
      </w:r>
      <w:proofErr w:type="gramEnd"/>
      <w:r>
        <w:rPr>
          <w:rFonts w:ascii="宋体" w:hAnsi="宋体" w:cs="Arial" w:hint="eastAsia"/>
          <w:sz w:val="24"/>
        </w:rPr>
        <w:t>清算和数据传递的时间、程序及托管协议当事人承担的权责按基金管理人届时的公告执行。</w:t>
      </w:r>
    </w:p>
    <w:p w14:paraId="4D3CB08D"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3、本基金开展基金转换业务应按相关法律法规规定及《基金合同》的约定进行公告。</w:t>
      </w:r>
    </w:p>
    <w:p w14:paraId="2C4DF4BB"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（七）基金现金分红</w:t>
      </w:r>
    </w:p>
    <w:p w14:paraId="45B265CD"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1、基金管理人确定分红方案通知基金托管人，双方核定后在2日内在中国证监会规定媒介公告。</w:t>
      </w:r>
    </w:p>
    <w:p w14:paraId="67F84854"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2、基金托管人和基金管理人对基金分红进行账务处理并核对后，基金管理人向基金托管人发送现金红利的划款指令，基金托管人应根据指令及时将分红款</w:t>
      </w:r>
      <w:proofErr w:type="gramStart"/>
      <w:r>
        <w:rPr>
          <w:rFonts w:ascii="宋体" w:hAnsi="宋体" w:cs="Arial" w:hint="eastAsia"/>
          <w:sz w:val="24"/>
        </w:rPr>
        <w:t>划往基金</w:t>
      </w:r>
      <w:proofErr w:type="gramEnd"/>
      <w:r>
        <w:rPr>
          <w:rFonts w:ascii="宋体" w:hAnsi="宋体" w:cs="Arial" w:hint="eastAsia"/>
          <w:sz w:val="24"/>
        </w:rPr>
        <w:t>清算账户。</w:t>
      </w:r>
    </w:p>
    <w:p w14:paraId="3AFBBD12"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3、基金管理人在下达指令时，应给基金托管人留出必需的划款时间。</w:t>
      </w:r>
    </w:p>
    <w:p w14:paraId="66912D5C" w14:textId="77777777" w:rsidR="00BC7646" w:rsidRDefault="00000000">
      <w:pPr>
        <w:pStyle w:val="2"/>
        <w:spacing w:beforeLines="100" w:before="312" w:afterLines="50" w:after="156" w:line="360" w:lineRule="auto"/>
        <w:jc w:val="center"/>
        <w:rPr>
          <w:rFonts w:ascii="Times New Roman" w:eastAsia="宋体" w:hAnsi="Times New Roman"/>
          <w:sz w:val="24"/>
          <w:szCs w:val="24"/>
        </w:rPr>
      </w:pPr>
      <w:r>
        <w:rPr>
          <w:rFonts w:ascii="Times New Roman" w:eastAsia="宋体" w:hAnsi="Times New Roman"/>
          <w:sz w:val="24"/>
          <w:szCs w:val="24"/>
        </w:rPr>
        <w:br w:type="page"/>
      </w:r>
      <w:bookmarkStart w:id="96" w:name="_Toc69371530"/>
      <w:bookmarkStart w:id="97" w:name="_Toc348082036"/>
      <w:r>
        <w:rPr>
          <w:rFonts w:ascii="Times New Roman" w:eastAsia="宋体" w:hAnsi="Times New Roman" w:hint="eastAsia"/>
          <w:sz w:val="24"/>
          <w:szCs w:val="24"/>
        </w:rPr>
        <w:lastRenderedPageBreak/>
        <w:t>八、基金资产净值计算、估值和会计核算</w:t>
      </w:r>
      <w:bookmarkEnd w:id="96"/>
      <w:bookmarkEnd w:id="97"/>
    </w:p>
    <w:p w14:paraId="6A8609BF" w14:textId="77777777" w:rsidR="00BC7646" w:rsidRDefault="00000000">
      <w:pPr>
        <w:spacing w:line="360" w:lineRule="auto"/>
        <w:ind w:firstLineChars="200" w:firstLine="480"/>
        <w:rPr>
          <w:rFonts w:ascii="宋体" w:hAnsi="宋体" w:cs="Arial"/>
          <w:sz w:val="24"/>
        </w:rPr>
      </w:pPr>
      <w:bookmarkStart w:id="98" w:name="_Hlk38447206"/>
      <w:r>
        <w:rPr>
          <w:rFonts w:ascii="宋体" w:hAnsi="宋体" w:cs="Arial" w:hint="eastAsia"/>
          <w:sz w:val="24"/>
        </w:rPr>
        <w:t>（一）基金资产净值的计算、复核与完成的时间及程序</w:t>
      </w:r>
    </w:p>
    <w:p w14:paraId="3330D0BC"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1、基金资产净值</w:t>
      </w:r>
    </w:p>
    <w:p w14:paraId="72C488CC" w14:textId="77777777" w:rsidR="00BC7646" w:rsidRDefault="00000000">
      <w:pPr>
        <w:spacing w:line="360" w:lineRule="auto"/>
        <w:ind w:firstLineChars="200" w:firstLine="480"/>
        <w:rPr>
          <w:rFonts w:ascii="宋体" w:hAnsi="宋体" w:cs="Arial"/>
          <w:sz w:val="24"/>
        </w:rPr>
      </w:pPr>
      <w:r>
        <w:rPr>
          <w:rFonts w:ascii="宋体" w:hAnsi="宋体" w:cs="Arial"/>
          <w:sz w:val="24"/>
        </w:rPr>
        <w:t>基金资产净值是指基金资产总值减去基金负债后的价值。</w:t>
      </w:r>
    </w:p>
    <w:p w14:paraId="78C0E567" w14:textId="77777777" w:rsidR="00BC7646" w:rsidRDefault="00000000">
      <w:pPr>
        <w:spacing w:line="360" w:lineRule="auto"/>
        <w:ind w:firstLineChars="200" w:firstLine="480"/>
        <w:rPr>
          <w:rFonts w:ascii="宋体" w:hAnsi="宋体" w:cs="Arial"/>
          <w:sz w:val="24"/>
        </w:rPr>
      </w:pPr>
      <w:r>
        <w:rPr>
          <w:rFonts w:hint="eastAsia"/>
          <w:bCs/>
          <w:sz w:val="24"/>
        </w:rPr>
        <w:t>某一类别</w:t>
      </w:r>
      <w:r>
        <w:rPr>
          <w:rFonts w:ascii="宋体" w:hAnsi="宋体" w:cs="Arial" w:hint="eastAsia"/>
          <w:sz w:val="24"/>
        </w:rPr>
        <w:t>基金份额净值是按照每个工作日闭市后，</w:t>
      </w:r>
      <w:r>
        <w:rPr>
          <w:rFonts w:hint="eastAsia"/>
          <w:bCs/>
          <w:sz w:val="24"/>
        </w:rPr>
        <w:t>该类别</w:t>
      </w:r>
      <w:r>
        <w:rPr>
          <w:rFonts w:ascii="宋体" w:hAnsi="宋体" w:cs="Arial" w:hint="eastAsia"/>
          <w:sz w:val="24"/>
        </w:rPr>
        <w:t>基金资产净值除以当日</w:t>
      </w:r>
      <w:r>
        <w:rPr>
          <w:rFonts w:hint="eastAsia"/>
          <w:bCs/>
          <w:sz w:val="24"/>
        </w:rPr>
        <w:t>该类别</w:t>
      </w:r>
      <w:r>
        <w:rPr>
          <w:rFonts w:ascii="宋体" w:hAnsi="宋体" w:cs="Arial" w:hint="eastAsia"/>
          <w:sz w:val="24"/>
        </w:rPr>
        <w:t>基金份额的余额数量计算，精确到0.0001元，小数点后第5位四舍五入，由此产生的收益或损失由基金财产承担。基金管理人可以设立大额赎回情形下的净值精度应急调整机制。国家另有规定的，从其规定。</w:t>
      </w:r>
    </w:p>
    <w:p w14:paraId="1B2DA4D2"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基金管理人</w:t>
      </w:r>
      <w:proofErr w:type="gramStart"/>
      <w:r>
        <w:rPr>
          <w:rFonts w:ascii="宋体" w:hAnsi="宋体" w:cs="Arial" w:hint="eastAsia"/>
          <w:sz w:val="24"/>
        </w:rPr>
        <w:t>应每个</w:t>
      </w:r>
      <w:proofErr w:type="gramEnd"/>
      <w:r>
        <w:rPr>
          <w:rFonts w:ascii="宋体" w:hAnsi="宋体" w:cs="Arial" w:hint="eastAsia"/>
          <w:sz w:val="24"/>
        </w:rPr>
        <w:t>工作日计算基金资产净值</w:t>
      </w:r>
      <w:r>
        <w:rPr>
          <w:rFonts w:hint="eastAsia"/>
          <w:bCs/>
          <w:sz w:val="24"/>
        </w:rPr>
        <w:t>及各类基金份额的</w:t>
      </w:r>
      <w:r>
        <w:rPr>
          <w:rFonts w:ascii="宋体" w:hAnsi="宋体" w:cs="Arial" w:hint="eastAsia"/>
          <w:sz w:val="24"/>
        </w:rPr>
        <w:t>基金份额净值，并按规定披露。</w:t>
      </w:r>
    </w:p>
    <w:p w14:paraId="4118BE44"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2、复核程序</w:t>
      </w:r>
    </w:p>
    <w:p w14:paraId="6D481676" w14:textId="77777777" w:rsidR="00BC7646" w:rsidRDefault="00000000">
      <w:pPr>
        <w:spacing w:line="360" w:lineRule="auto"/>
        <w:ind w:firstLineChars="200" w:firstLine="480"/>
        <w:rPr>
          <w:rFonts w:ascii="宋体" w:hAnsi="宋体" w:cs="Arial"/>
          <w:sz w:val="24"/>
        </w:rPr>
      </w:pPr>
      <w:r>
        <w:rPr>
          <w:rFonts w:ascii="宋体" w:hAnsi="宋体" w:cs="Arial"/>
          <w:sz w:val="24"/>
        </w:rPr>
        <w:t>基金管理人</w:t>
      </w:r>
      <w:proofErr w:type="gramStart"/>
      <w:r>
        <w:rPr>
          <w:rFonts w:ascii="宋体" w:hAnsi="宋体" w:cs="Arial"/>
          <w:sz w:val="24"/>
        </w:rPr>
        <w:t>应每个</w:t>
      </w:r>
      <w:proofErr w:type="gramEnd"/>
      <w:r>
        <w:rPr>
          <w:rFonts w:ascii="宋体" w:hAnsi="宋体" w:cs="Arial"/>
          <w:sz w:val="24"/>
        </w:rPr>
        <w:t>工作日对基金资产估值</w:t>
      </w:r>
      <w:r>
        <w:rPr>
          <w:rFonts w:ascii="宋体" w:hAnsi="宋体" w:cs="Arial" w:hint="eastAsia"/>
          <w:sz w:val="24"/>
        </w:rPr>
        <w:t>，</w:t>
      </w:r>
      <w:r>
        <w:rPr>
          <w:rFonts w:ascii="宋体" w:hAnsi="宋体" w:cs="Arial"/>
          <w:sz w:val="24"/>
        </w:rPr>
        <w:t>但基金管理人根据法律法规或基金合同的规定暂停估值时除外。基金管理人每个工作日对基金资产估值后，将</w:t>
      </w:r>
      <w:bookmarkStart w:id="99" w:name="_Hlk2862289"/>
      <w:r>
        <w:rPr>
          <w:rFonts w:ascii="宋体" w:hAnsi="宋体" w:cs="Arial"/>
          <w:sz w:val="24"/>
        </w:rPr>
        <w:t>各类</w:t>
      </w:r>
      <w:r>
        <w:rPr>
          <w:rFonts w:ascii="宋体" w:hAnsi="宋体" w:cs="Arial" w:hint="eastAsia"/>
          <w:sz w:val="24"/>
        </w:rPr>
        <w:t>基金份额的</w:t>
      </w:r>
      <w:r>
        <w:rPr>
          <w:rFonts w:hint="eastAsia"/>
          <w:bCs/>
          <w:sz w:val="24"/>
        </w:rPr>
        <w:t>基金份额</w:t>
      </w:r>
      <w:r>
        <w:rPr>
          <w:rFonts w:ascii="宋体" w:hAnsi="宋体" w:cs="Arial" w:hint="eastAsia"/>
          <w:sz w:val="24"/>
        </w:rPr>
        <w:t>净值结果</w:t>
      </w:r>
      <w:bookmarkEnd w:id="99"/>
      <w:r>
        <w:rPr>
          <w:rFonts w:ascii="宋体" w:hAnsi="宋体" w:cs="Arial"/>
          <w:sz w:val="24"/>
        </w:rPr>
        <w:t>发送基金托管人，经基金托管人复核无误后，由基金管理人对外公布。</w:t>
      </w:r>
    </w:p>
    <w:p w14:paraId="01928BF5"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6E0FD672"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（二）基金资产的估值</w:t>
      </w:r>
    </w:p>
    <w:p w14:paraId="70A2C634" w14:textId="77777777" w:rsidR="00BC7646" w:rsidRDefault="00000000">
      <w:pPr>
        <w:spacing w:line="360" w:lineRule="auto"/>
        <w:ind w:firstLineChars="200" w:firstLine="480"/>
        <w:rPr>
          <w:rFonts w:ascii="宋体" w:hAnsi="宋体" w:cs="Arial"/>
        </w:rPr>
      </w:pPr>
      <w:r>
        <w:rPr>
          <w:rFonts w:ascii="宋体" w:hAnsi="宋体" w:cs="Arial" w:hint="eastAsia"/>
          <w:sz w:val="24"/>
        </w:rPr>
        <w:t>基金管理人及基金托管人应当按照《基金合同》的约定进行估值。</w:t>
      </w:r>
    </w:p>
    <w:p w14:paraId="2F9AA8C3"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（三）基金份额净值错误的处理方式</w:t>
      </w:r>
    </w:p>
    <w:p w14:paraId="5B48FBA8"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基金管理人及基金托管人应当按照《基金合同》的约定处理份额净值错误。</w:t>
      </w:r>
    </w:p>
    <w:p w14:paraId="19EB4C6D"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（四）基金会计制度</w:t>
      </w:r>
    </w:p>
    <w:p w14:paraId="72DFB6C1"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按国家有关部门规定的会计制度执行。</w:t>
      </w:r>
    </w:p>
    <w:p w14:paraId="0B72FD0F"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（五）基金账册的建立</w:t>
      </w:r>
    </w:p>
    <w:p w14:paraId="5562CE23"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4A8AFC91"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lastRenderedPageBreak/>
        <w:t>（六）基金财务报表与报告的编制和复核</w:t>
      </w:r>
    </w:p>
    <w:p w14:paraId="51081713"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1、财务报表的编制</w:t>
      </w:r>
    </w:p>
    <w:p w14:paraId="3E6A09EC"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基金财务报表由基金管理人编制，基金托管人复核。</w:t>
      </w:r>
    </w:p>
    <w:p w14:paraId="050B6A4B"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2、报表复核</w:t>
      </w:r>
    </w:p>
    <w:p w14:paraId="21F984A2"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基金托管人在收到基金管理人编制的基金财务报表后，进行独立的复核。核对不符时，应及时通知基金管理人共同查出原因，进行调整，直至双方数据完全一致。</w:t>
      </w:r>
    </w:p>
    <w:p w14:paraId="7C61F5F7"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3、财务报表的编制与复核时间安排</w:t>
      </w:r>
    </w:p>
    <w:p w14:paraId="552610FF"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基金管理人、基金托管人应当在每月结束后5个工作日内完成月度报表的编制及复核；在季度结束之日起15个工作日内完成基金季度报告的编制及复核；在上半年结束之日起两个月内完成基金中期报告的编制及复核；在每年结束之日起三个月内完成基金年度报告的编制及复核。</w:t>
      </w:r>
    </w:p>
    <w:p w14:paraId="3066E1AD"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基金管理人在月度报表完成当日，将报表盖章后提供给基金托管人复核；基金托管人在收到后应在</w:t>
      </w:r>
      <w:r>
        <w:rPr>
          <w:rFonts w:ascii="宋体" w:hAnsi="宋体" w:cs="Arial"/>
          <w:sz w:val="24"/>
        </w:rPr>
        <w:t>3</w:t>
      </w:r>
      <w:r>
        <w:rPr>
          <w:rFonts w:ascii="宋体" w:hAnsi="宋体" w:cs="Arial" w:hint="eastAsia"/>
          <w:sz w:val="24"/>
        </w:rPr>
        <w:t>日内进行复核，并将复核结果书面通知基金管理人。基金管理人在季度报告完成当日，将有关报告提供给基金托管人复核，基金托管人应在收到后5个工作日内完成复核，并将复核结果书面通知基金管理人。基金管理人在中期报告完成当日，将有关报告提供给基金托管人复核，基金托管人应在收到后15日内完成复核，并将复核结果书面通知基金管理人。基金管理人在年度报告完成当日，将有关报告提供基金托管人复核，基金托管人应在收到后20日内完成复核，并将复核结果书面通知基金管理人。基金管理人和基金托管人之间的上述文件往来均以传真或双方商定的其他方式进行。基金托管人在复核过程中，发现双方的报表存在不符时，基金管理人和基金托管人应共同查明原因，进行调整，调整以国家有关规定为准。基金年度报告中的财务会计报告应当经过符合《中华人民共和国证券法》规定的会计师事务所审计。基金合同生效不足两个月的，基金管理人可以不编制当期季度报告、中期报告或者年度报告。</w:t>
      </w:r>
    </w:p>
    <w:p w14:paraId="75EC77EC"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（七）实施</w:t>
      </w:r>
      <w:proofErr w:type="gramStart"/>
      <w:r>
        <w:rPr>
          <w:rFonts w:ascii="宋体" w:hAnsi="宋体" w:cs="Arial" w:hint="eastAsia"/>
          <w:sz w:val="24"/>
        </w:rPr>
        <w:t>侧袋机制</w:t>
      </w:r>
      <w:proofErr w:type="gramEnd"/>
      <w:r>
        <w:rPr>
          <w:rFonts w:ascii="宋体" w:hAnsi="宋体" w:cs="Arial" w:hint="eastAsia"/>
          <w:sz w:val="24"/>
        </w:rPr>
        <w:t>期间的基金资产估值</w:t>
      </w:r>
    </w:p>
    <w:p w14:paraId="0BC17CEB"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本基金实施</w:t>
      </w:r>
      <w:proofErr w:type="gramStart"/>
      <w:r>
        <w:rPr>
          <w:rFonts w:ascii="宋体" w:hAnsi="宋体" w:cs="Arial" w:hint="eastAsia"/>
          <w:sz w:val="24"/>
        </w:rPr>
        <w:t>侧袋机制</w:t>
      </w:r>
      <w:proofErr w:type="gramEnd"/>
      <w:r>
        <w:rPr>
          <w:rFonts w:ascii="宋体" w:hAnsi="宋体" w:cs="Arial" w:hint="eastAsia"/>
          <w:sz w:val="24"/>
        </w:rPr>
        <w:t>的，应根据本部分的约定</w:t>
      </w:r>
      <w:proofErr w:type="gramStart"/>
      <w:r>
        <w:rPr>
          <w:rFonts w:ascii="宋体" w:hAnsi="宋体" w:cs="Arial" w:hint="eastAsia"/>
          <w:sz w:val="24"/>
        </w:rPr>
        <w:t>对主袋账户</w:t>
      </w:r>
      <w:proofErr w:type="gramEnd"/>
      <w:r>
        <w:rPr>
          <w:rFonts w:ascii="宋体" w:hAnsi="宋体" w:cs="Arial" w:hint="eastAsia"/>
          <w:sz w:val="24"/>
        </w:rPr>
        <w:t>资产进行估值并</w:t>
      </w:r>
      <w:proofErr w:type="gramStart"/>
      <w:r>
        <w:rPr>
          <w:rFonts w:ascii="宋体" w:hAnsi="宋体" w:cs="Arial" w:hint="eastAsia"/>
          <w:sz w:val="24"/>
        </w:rPr>
        <w:t>披露主袋账户</w:t>
      </w:r>
      <w:proofErr w:type="gramEnd"/>
      <w:r>
        <w:rPr>
          <w:rFonts w:ascii="宋体" w:hAnsi="宋体" w:cs="Arial" w:hint="eastAsia"/>
          <w:sz w:val="24"/>
        </w:rPr>
        <w:t>的基金净值信息，暂停</w:t>
      </w:r>
      <w:proofErr w:type="gramStart"/>
      <w:r>
        <w:rPr>
          <w:rFonts w:ascii="宋体" w:hAnsi="宋体" w:cs="Arial" w:hint="eastAsia"/>
          <w:sz w:val="24"/>
        </w:rPr>
        <w:t>披露侧袋账户</w:t>
      </w:r>
      <w:proofErr w:type="gramEnd"/>
      <w:r>
        <w:rPr>
          <w:rFonts w:ascii="宋体" w:hAnsi="宋体" w:cs="Arial" w:hint="eastAsia"/>
          <w:sz w:val="24"/>
        </w:rPr>
        <w:t>份额净值。</w:t>
      </w:r>
    </w:p>
    <w:bookmarkEnd w:id="98"/>
    <w:p w14:paraId="18E1F14E" w14:textId="77777777" w:rsidR="00BC7646" w:rsidRDefault="00000000">
      <w:pPr>
        <w:pStyle w:val="2"/>
        <w:spacing w:beforeLines="100" w:before="312" w:afterLines="50" w:after="156" w:line="360" w:lineRule="auto"/>
        <w:jc w:val="center"/>
        <w:rPr>
          <w:rFonts w:ascii="Times New Roman" w:eastAsia="宋体" w:hAnsi="Times New Roman"/>
          <w:sz w:val="24"/>
          <w:szCs w:val="24"/>
        </w:rPr>
      </w:pPr>
      <w:r>
        <w:rPr>
          <w:rFonts w:ascii="Times New Roman" w:eastAsia="宋体" w:hAnsi="Times New Roman"/>
          <w:sz w:val="24"/>
          <w:szCs w:val="24"/>
        </w:rPr>
        <w:br w:type="page"/>
      </w:r>
      <w:bookmarkStart w:id="100" w:name="_Toc348082037"/>
      <w:bookmarkStart w:id="101" w:name="_Toc69371531"/>
      <w:r>
        <w:rPr>
          <w:rFonts w:ascii="Times New Roman" w:eastAsia="宋体" w:hAnsi="Times New Roman" w:hint="eastAsia"/>
          <w:sz w:val="24"/>
          <w:szCs w:val="24"/>
        </w:rPr>
        <w:lastRenderedPageBreak/>
        <w:t>九、基金收益分配</w:t>
      </w:r>
      <w:bookmarkEnd w:id="100"/>
      <w:bookmarkEnd w:id="101"/>
    </w:p>
    <w:p w14:paraId="2EF2FE13"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基金管理人与基金托管人按照《基金合同》的约定处理基金收益分配。</w:t>
      </w:r>
    </w:p>
    <w:p w14:paraId="3B09F658" w14:textId="77777777" w:rsidR="00BC7646" w:rsidRDefault="00000000">
      <w:pPr>
        <w:spacing w:line="360" w:lineRule="auto"/>
        <w:ind w:firstLineChars="200" w:firstLine="480"/>
        <w:rPr>
          <w:rFonts w:cs="Arial"/>
          <w:sz w:val="24"/>
        </w:rPr>
      </w:pPr>
      <w:r>
        <w:rPr>
          <w:rFonts w:cs="Arial" w:hint="eastAsia"/>
          <w:sz w:val="24"/>
        </w:rPr>
        <w:t>本基金实施</w:t>
      </w:r>
      <w:proofErr w:type="gramStart"/>
      <w:r>
        <w:rPr>
          <w:rFonts w:cs="Arial" w:hint="eastAsia"/>
          <w:sz w:val="24"/>
        </w:rPr>
        <w:t>侧袋机制</w:t>
      </w:r>
      <w:proofErr w:type="gramEnd"/>
      <w:r>
        <w:rPr>
          <w:rFonts w:cs="Arial" w:hint="eastAsia"/>
          <w:sz w:val="24"/>
        </w:rPr>
        <w:t>的，</w:t>
      </w:r>
      <w:proofErr w:type="gramStart"/>
      <w:r>
        <w:rPr>
          <w:rFonts w:cs="Arial" w:hint="eastAsia"/>
          <w:sz w:val="24"/>
        </w:rPr>
        <w:t>侧袋账户</w:t>
      </w:r>
      <w:proofErr w:type="gramEnd"/>
      <w:r>
        <w:rPr>
          <w:rFonts w:cs="Arial" w:hint="eastAsia"/>
          <w:sz w:val="24"/>
        </w:rPr>
        <w:t>不进行收益分配，详见招募说明书的规定。</w:t>
      </w:r>
    </w:p>
    <w:p w14:paraId="083C66D6" w14:textId="77777777" w:rsidR="00BC7646" w:rsidRDefault="00BC7646">
      <w:pPr>
        <w:adjustRightInd w:val="0"/>
        <w:snapToGrid w:val="0"/>
        <w:spacing w:line="360" w:lineRule="auto"/>
        <w:rPr>
          <w:rFonts w:cs="Arial"/>
          <w:sz w:val="24"/>
        </w:rPr>
      </w:pPr>
    </w:p>
    <w:p w14:paraId="1041E38E" w14:textId="77777777" w:rsidR="00BC7646" w:rsidRDefault="00000000">
      <w:pPr>
        <w:pStyle w:val="2"/>
        <w:spacing w:beforeLines="100" w:before="312" w:afterLines="50" w:after="156" w:line="360" w:lineRule="auto"/>
        <w:jc w:val="center"/>
        <w:rPr>
          <w:rFonts w:ascii="Times New Roman" w:eastAsia="宋体" w:hAnsi="Times New Roman"/>
          <w:sz w:val="24"/>
          <w:szCs w:val="24"/>
        </w:rPr>
      </w:pPr>
      <w:r>
        <w:rPr>
          <w:rFonts w:ascii="Times New Roman" w:eastAsia="宋体" w:hAnsi="Times New Roman"/>
          <w:sz w:val="24"/>
          <w:szCs w:val="24"/>
        </w:rPr>
        <w:br w:type="page"/>
      </w:r>
      <w:bookmarkStart w:id="102" w:name="_Toc69371532"/>
      <w:bookmarkStart w:id="103" w:name="_Toc348082038"/>
      <w:r>
        <w:rPr>
          <w:rFonts w:ascii="Times New Roman" w:eastAsia="宋体" w:hAnsi="Times New Roman" w:hint="eastAsia"/>
          <w:sz w:val="24"/>
          <w:szCs w:val="24"/>
        </w:rPr>
        <w:lastRenderedPageBreak/>
        <w:t>十、基金信息披露</w:t>
      </w:r>
      <w:bookmarkEnd w:id="102"/>
      <w:bookmarkEnd w:id="103"/>
    </w:p>
    <w:p w14:paraId="4AC380D2"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（一）保密义务</w:t>
      </w:r>
    </w:p>
    <w:p w14:paraId="4931E802"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基金托管人和基金管理人应按法律法规、基金合同的有关规定进行信息披露，拟公开披露的信息在公开披露之前应予保密。除按《基金法》、基金合同、《信息披露办法》、《流动性风险管理规定》及其他有关规定进行信息披露外，基金管理人和基金托管人对基金运作中产生的信息以及从对方获得的业务信息应予保密。但是，如下情况不应视为基金管理人或基金托管人违反保密义务：</w:t>
      </w:r>
    </w:p>
    <w:p w14:paraId="1A9E67E6"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1、非因基金管理人和基金托管人的原因导致保密信息被披露、泄露或公开；</w:t>
      </w:r>
    </w:p>
    <w:p w14:paraId="4A04ADDB"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2、基金管理人和基金托管人为遵守和服从法院判决或裁定、仲裁裁决或中国证监会等监管机构的命令、决定所做出的信息披露或公开；</w:t>
      </w:r>
    </w:p>
    <w:p w14:paraId="308E9974"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3、向审计、法律等外部专业顾问提供必要信息的情况除外。</w:t>
      </w:r>
    </w:p>
    <w:p w14:paraId="69A1CA62" w14:textId="77777777" w:rsidR="00BC7646" w:rsidRDefault="00000000">
      <w:pPr>
        <w:spacing w:line="360" w:lineRule="auto"/>
        <w:ind w:firstLineChars="200" w:firstLine="480"/>
        <w:rPr>
          <w:rFonts w:ascii="宋体" w:hAnsi="宋体" w:cs="Arial"/>
          <w:sz w:val="24"/>
        </w:rPr>
      </w:pPr>
      <w:bookmarkStart w:id="104" w:name="_Hlk20605178"/>
      <w:r>
        <w:rPr>
          <w:rFonts w:ascii="宋体" w:hAnsi="宋体" w:cs="Arial" w:hint="eastAsia"/>
          <w:sz w:val="24"/>
        </w:rPr>
        <w:t>（二）信息披露的内容</w:t>
      </w:r>
    </w:p>
    <w:p w14:paraId="7EDE0A3C" w14:textId="77777777" w:rsidR="00BC7646" w:rsidRDefault="00000000">
      <w:pPr>
        <w:spacing w:line="360" w:lineRule="auto"/>
        <w:ind w:firstLineChars="200" w:firstLine="480"/>
        <w:rPr>
          <w:sz w:val="24"/>
        </w:rPr>
      </w:pPr>
      <w:bookmarkStart w:id="105" w:name="_Hlk20605714"/>
      <w:bookmarkEnd w:id="104"/>
      <w:r>
        <w:rPr>
          <w:sz w:val="24"/>
        </w:rPr>
        <w:t>基金的信息披露内容主要包括基金招募说明书、基金合同、托管协议、</w:t>
      </w:r>
      <w:r>
        <w:rPr>
          <w:rFonts w:hint="eastAsia"/>
          <w:sz w:val="24"/>
        </w:rPr>
        <w:t>基金产品资料概要、基金份额发售公告、《基金合同》生效公告、</w:t>
      </w:r>
      <w:r>
        <w:rPr>
          <w:sz w:val="24"/>
        </w:rPr>
        <w:t>基金净值信息、基金份额申购</w:t>
      </w:r>
      <w:r>
        <w:rPr>
          <w:rFonts w:hint="eastAsia"/>
          <w:sz w:val="24"/>
        </w:rPr>
        <w:t>/</w:t>
      </w:r>
      <w:r>
        <w:rPr>
          <w:sz w:val="24"/>
        </w:rPr>
        <w:t>赎回价格、基金定期报告（包括基金年度报告、基金</w:t>
      </w:r>
      <w:r>
        <w:rPr>
          <w:rFonts w:hint="eastAsia"/>
          <w:sz w:val="24"/>
        </w:rPr>
        <w:t>中期</w:t>
      </w:r>
      <w:r>
        <w:rPr>
          <w:sz w:val="24"/>
        </w:rPr>
        <w:t>报告和基金季度报告）、临时报告、澄清公告、基金份额持有人大会决议</w:t>
      </w:r>
      <w:r>
        <w:rPr>
          <w:rFonts w:hint="eastAsia"/>
          <w:bCs/>
          <w:sz w:val="24"/>
        </w:rPr>
        <w:t>、清算报告、投资资产支持证券的信息披露、投资</w:t>
      </w:r>
      <w:r>
        <w:rPr>
          <w:rFonts w:ascii="宋体" w:hAnsi="宋体" w:hint="eastAsia"/>
          <w:bCs/>
          <w:sz w:val="24"/>
        </w:rPr>
        <w:t>证券公司短期公司债券的信息披露</w:t>
      </w:r>
      <w:r>
        <w:rPr>
          <w:rFonts w:hint="eastAsia"/>
          <w:bCs/>
          <w:sz w:val="24"/>
        </w:rPr>
        <w:t>、实施</w:t>
      </w:r>
      <w:proofErr w:type="gramStart"/>
      <w:r>
        <w:rPr>
          <w:rFonts w:hint="eastAsia"/>
          <w:bCs/>
          <w:sz w:val="24"/>
        </w:rPr>
        <w:t>侧袋机制</w:t>
      </w:r>
      <w:proofErr w:type="gramEnd"/>
      <w:r>
        <w:rPr>
          <w:rFonts w:hint="eastAsia"/>
          <w:bCs/>
          <w:sz w:val="24"/>
        </w:rPr>
        <w:t>期间的信息披露、投资国债期货的信息披露以及</w:t>
      </w:r>
      <w:r>
        <w:rPr>
          <w:sz w:val="24"/>
        </w:rPr>
        <w:t>中国证监会规定的其他信息。基金年度报告</w:t>
      </w:r>
      <w:r>
        <w:rPr>
          <w:rFonts w:hint="eastAsia"/>
          <w:sz w:val="24"/>
        </w:rPr>
        <w:t>中的财务会计报告</w:t>
      </w:r>
      <w:r>
        <w:rPr>
          <w:sz w:val="24"/>
        </w:rPr>
        <w:t>需</w:t>
      </w:r>
      <w:proofErr w:type="gramStart"/>
      <w:r>
        <w:rPr>
          <w:sz w:val="24"/>
        </w:rPr>
        <w:t>经</w:t>
      </w:r>
      <w:r>
        <w:rPr>
          <w:rFonts w:hint="eastAsia"/>
          <w:sz w:val="24"/>
        </w:rPr>
        <w:t>符合</w:t>
      </w:r>
      <w:proofErr w:type="gramEnd"/>
      <w:r>
        <w:rPr>
          <w:rFonts w:hint="eastAsia"/>
          <w:sz w:val="24"/>
        </w:rPr>
        <w:t>《中华人民共和国证券法》规定</w:t>
      </w:r>
      <w:r>
        <w:rPr>
          <w:sz w:val="24"/>
        </w:rPr>
        <w:t>的会计师事务所审计后，方可披露。</w:t>
      </w:r>
    </w:p>
    <w:p w14:paraId="273B8A92" w14:textId="77777777" w:rsidR="00BC7646" w:rsidRDefault="00000000">
      <w:pPr>
        <w:spacing w:line="360" w:lineRule="auto"/>
        <w:ind w:firstLineChars="200" w:firstLine="480"/>
        <w:rPr>
          <w:bCs/>
          <w:sz w:val="24"/>
        </w:rPr>
      </w:pPr>
      <w:r>
        <w:rPr>
          <w:rFonts w:hint="eastAsia"/>
          <w:bCs/>
          <w:sz w:val="24"/>
        </w:rPr>
        <w:t>《基金合同》生效不足</w:t>
      </w:r>
      <w:r>
        <w:rPr>
          <w:rFonts w:hint="eastAsia"/>
          <w:bCs/>
          <w:sz w:val="24"/>
        </w:rPr>
        <w:t>2</w:t>
      </w:r>
      <w:r>
        <w:rPr>
          <w:rFonts w:hint="eastAsia"/>
          <w:bCs/>
          <w:sz w:val="24"/>
        </w:rPr>
        <w:t>个月的，基金管理人可以不编制当期季度报告、中期报告或者年度报告。</w:t>
      </w:r>
    </w:p>
    <w:p w14:paraId="323FD6BC" w14:textId="77777777" w:rsidR="00BC7646" w:rsidRDefault="00000000">
      <w:pPr>
        <w:spacing w:line="360" w:lineRule="auto"/>
        <w:ind w:firstLineChars="200" w:firstLine="480"/>
        <w:rPr>
          <w:bCs/>
          <w:sz w:val="24"/>
        </w:rPr>
      </w:pPr>
      <w:r>
        <w:rPr>
          <w:rFonts w:hint="eastAsia"/>
          <w:bCs/>
          <w:sz w:val="24"/>
        </w:rPr>
        <w:t>本基金持续运作过程中，基金管理人应当在基金年度报告和中期报告中披露基金组合资产情况及其流动性风险分析等。</w:t>
      </w:r>
    </w:p>
    <w:p w14:paraId="561DC004"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（三）基金托管人和基金管理人在信息披露中的职责和信息披露程序</w:t>
      </w:r>
    </w:p>
    <w:bookmarkEnd w:id="105"/>
    <w:p w14:paraId="4E5C2B80"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1、职责</w:t>
      </w:r>
    </w:p>
    <w:p w14:paraId="40FDA35E"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基金托管人和基金管理人在信息披露过程中应以保护基金份额持有人利益为宗旨，诚实信用，严守秘密。基金管理人负责办理与基金有关的信息披露事宜，对于根据相关法律法规和基金合同规定的需要由基金托管人复核的信息披露文</w:t>
      </w:r>
      <w:r>
        <w:rPr>
          <w:rFonts w:ascii="宋体" w:hAnsi="宋体" w:cs="Arial" w:hint="eastAsia"/>
          <w:sz w:val="24"/>
        </w:rPr>
        <w:lastRenderedPageBreak/>
        <w:t>件，在经基金托管人复核无误后，由基金管理人予以公布。</w:t>
      </w:r>
    </w:p>
    <w:p w14:paraId="5D712D21"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基金管理人和基金托管人应积极配合、互相监督，保证其履行按照法定方式和限时披露的义务。</w:t>
      </w:r>
    </w:p>
    <w:p w14:paraId="59DD3EFA"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基金管理人应当在中国证监会规定的时间内，将应予披露的基金信息通过中国证监会</w:t>
      </w:r>
      <w:r>
        <w:rPr>
          <w:rFonts w:ascii="宋体" w:hAnsi="宋体" w:cs="Arial"/>
          <w:sz w:val="24"/>
        </w:rPr>
        <w:t>规定</w:t>
      </w:r>
      <w:r>
        <w:rPr>
          <w:rFonts w:ascii="宋体" w:hAnsi="宋体" w:cs="Arial" w:hint="eastAsia"/>
          <w:sz w:val="24"/>
        </w:rPr>
        <w:t>媒介披露。根据法律法规应由基金托管人公开披露的信息，基金托管人在规定媒介公开披露。当出现下述情况时，基金管理人和基金托管人可暂停或延迟披露基金相关信息：</w:t>
      </w:r>
    </w:p>
    <w:p w14:paraId="17C5DD8E"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（1）不可抗力</w:t>
      </w:r>
      <w:r>
        <w:rPr>
          <w:rFonts w:ascii="宋体" w:hAnsi="宋体" w:cs="Arial" w:hint="eastAsia"/>
          <w:bCs/>
          <w:sz w:val="24"/>
        </w:rPr>
        <w:t>或其他情形致使基金管理人、基金托管人无法准确评估基金资产价值时</w:t>
      </w:r>
      <w:r>
        <w:rPr>
          <w:rFonts w:ascii="宋体" w:hAnsi="宋体" w:cs="Arial" w:hint="eastAsia"/>
          <w:sz w:val="24"/>
        </w:rPr>
        <w:t>；</w:t>
      </w:r>
    </w:p>
    <w:p w14:paraId="1CD1572C" w14:textId="77777777" w:rsidR="00BC7646" w:rsidRDefault="00000000">
      <w:pPr>
        <w:spacing w:line="360" w:lineRule="auto"/>
        <w:ind w:firstLineChars="200" w:firstLine="480"/>
        <w:rPr>
          <w:rFonts w:ascii="宋体" w:hAnsi="宋体" w:cs="Arial"/>
          <w:bCs/>
          <w:sz w:val="24"/>
        </w:rPr>
      </w:pPr>
      <w:r>
        <w:rPr>
          <w:rFonts w:ascii="宋体" w:hAnsi="宋体" w:cs="Arial" w:hint="eastAsia"/>
          <w:sz w:val="24"/>
        </w:rPr>
        <w:t>（2）</w:t>
      </w:r>
      <w:r>
        <w:rPr>
          <w:rFonts w:ascii="宋体" w:hAnsi="宋体" w:cs="Arial" w:hint="eastAsia"/>
          <w:bCs/>
          <w:sz w:val="24"/>
        </w:rPr>
        <w:t>基金投资所涉及的证券交易市场遇法定节假日或因其他原因暂停营业时；</w:t>
      </w:r>
    </w:p>
    <w:p w14:paraId="2609EA82" w14:textId="77777777" w:rsidR="00BC7646" w:rsidRDefault="00000000">
      <w:pPr>
        <w:spacing w:line="360" w:lineRule="auto"/>
        <w:ind w:firstLineChars="200" w:firstLine="480"/>
        <w:rPr>
          <w:rFonts w:ascii="宋体" w:hAnsi="宋体" w:cs="Arial"/>
          <w:sz w:val="24"/>
        </w:rPr>
      </w:pPr>
      <w:r>
        <w:rPr>
          <w:rFonts w:ascii="宋体" w:hAnsi="宋体" w:cs="Arial" w:hint="eastAsia"/>
          <w:bCs/>
          <w:sz w:val="24"/>
        </w:rPr>
        <w:t>（</w:t>
      </w:r>
      <w:r>
        <w:rPr>
          <w:rFonts w:ascii="宋体" w:hAnsi="宋体" w:cs="Arial"/>
          <w:bCs/>
          <w:sz w:val="24"/>
        </w:rPr>
        <w:t>3</w:t>
      </w:r>
      <w:r>
        <w:rPr>
          <w:rFonts w:ascii="宋体" w:hAnsi="宋体" w:cs="Arial" w:hint="eastAsia"/>
          <w:bCs/>
          <w:sz w:val="24"/>
        </w:rPr>
        <w:t>）</w:t>
      </w:r>
      <w:r>
        <w:rPr>
          <w:rFonts w:ascii="宋体" w:hAnsi="宋体" w:cs="Arial" w:hint="eastAsia"/>
          <w:sz w:val="24"/>
        </w:rPr>
        <w:t>发生《基金合同》约定的暂停估值的情形时；</w:t>
      </w:r>
    </w:p>
    <w:p w14:paraId="6576478E"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（4）法律法规、基金合同或中国证监会规定的其他情况。</w:t>
      </w:r>
    </w:p>
    <w:p w14:paraId="05A3F39F"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2、程序</w:t>
      </w:r>
    </w:p>
    <w:p w14:paraId="7DC5D6DA"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29D05CF6" w14:textId="77777777" w:rsidR="00BC7646" w:rsidRDefault="00000000">
      <w:pPr>
        <w:spacing w:line="360" w:lineRule="auto"/>
        <w:ind w:firstLineChars="200" w:firstLine="480"/>
        <w:rPr>
          <w:rFonts w:ascii="宋体" w:hAnsi="宋体" w:cs="Arial"/>
          <w:sz w:val="24"/>
        </w:rPr>
      </w:pPr>
      <w:bookmarkStart w:id="106" w:name="_Hlk20605745"/>
      <w:r>
        <w:rPr>
          <w:rFonts w:ascii="宋体" w:hAnsi="宋体" w:cs="Arial" w:hint="eastAsia"/>
          <w:sz w:val="24"/>
        </w:rPr>
        <w:t>3、信息文本的存放</w:t>
      </w:r>
    </w:p>
    <w:p w14:paraId="398B1545" w14:textId="77777777" w:rsidR="00BC7646" w:rsidRDefault="00000000">
      <w:pPr>
        <w:spacing w:line="360" w:lineRule="auto"/>
        <w:ind w:firstLineChars="200" w:firstLine="480"/>
        <w:rPr>
          <w:rFonts w:ascii="宋体" w:hAnsi="宋体" w:cs="Arial"/>
          <w:bCs/>
          <w:sz w:val="24"/>
        </w:rPr>
      </w:pPr>
      <w:r>
        <w:rPr>
          <w:rFonts w:ascii="宋体" w:hAnsi="宋体" w:cs="Arial" w:hint="eastAsia"/>
          <w:bCs/>
          <w:sz w:val="24"/>
        </w:rPr>
        <w:t>依法必须披露的信息发布后，基金管理人、基金托管人应当按照相关法律法规规定将信息置备于各自住所，供社会公众查阅、复制。</w:t>
      </w:r>
    </w:p>
    <w:p w14:paraId="27BBD1FB"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（四）实施</w:t>
      </w:r>
      <w:proofErr w:type="gramStart"/>
      <w:r>
        <w:rPr>
          <w:rFonts w:ascii="宋体" w:hAnsi="宋体" w:cs="Arial" w:hint="eastAsia"/>
          <w:sz w:val="24"/>
        </w:rPr>
        <w:t>侧袋机制</w:t>
      </w:r>
      <w:proofErr w:type="gramEnd"/>
      <w:r>
        <w:rPr>
          <w:rFonts w:ascii="宋体" w:hAnsi="宋体" w:cs="Arial" w:hint="eastAsia"/>
          <w:sz w:val="24"/>
        </w:rPr>
        <w:t>期间的信息披露</w:t>
      </w:r>
    </w:p>
    <w:p w14:paraId="6B7362D2"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本基金实施</w:t>
      </w:r>
      <w:proofErr w:type="gramStart"/>
      <w:r>
        <w:rPr>
          <w:rFonts w:ascii="宋体" w:hAnsi="宋体" w:cs="Arial" w:hint="eastAsia"/>
          <w:sz w:val="24"/>
        </w:rPr>
        <w:t>侧袋机制</w:t>
      </w:r>
      <w:proofErr w:type="gramEnd"/>
      <w:r>
        <w:rPr>
          <w:rFonts w:ascii="宋体" w:hAnsi="宋体" w:cs="Arial" w:hint="eastAsia"/>
          <w:sz w:val="24"/>
        </w:rPr>
        <w:t>的，相关信息披露义务人应当根据法律法规、基金合同和招募说明书的规定进行信息披露，详见招募说明书的规定。</w:t>
      </w:r>
    </w:p>
    <w:bookmarkEnd w:id="106"/>
    <w:p w14:paraId="44A30DEC" w14:textId="77777777" w:rsidR="00BC7646" w:rsidRDefault="00000000">
      <w:pPr>
        <w:pStyle w:val="2"/>
        <w:spacing w:beforeLines="100" w:before="312" w:afterLines="50" w:after="156" w:line="360" w:lineRule="auto"/>
        <w:jc w:val="center"/>
        <w:rPr>
          <w:rFonts w:ascii="Times New Roman" w:eastAsia="宋体" w:hAnsi="Times New Roman"/>
          <w:sz w:val="24"/>
          <w:szCs w:val="24"/>
        </w:rPr>
      </w:pPr>
      <w:r>
        <w:rPr>
          <w:rFonts w:ascii="Times New Roman" w:eastAsia="宋体" w:hAnsi="Times New Roman"/>
          <w:sz w:val="24"/>
          <w:szCs w:val="24"/>
        </w:rPr>
        <w:br w:type="page"/>
      </w:r>
      <w:bookmarkStart w:id="107" w:name="_Toc69371533"/>
      <w:bookmarkStart w:id="108" w:name="_Toc348082039"/>
      <w:r>
        <w:rPr>
          <w:rFonts w:ascii="Times New Roman" w:eastAsia="宋体" w:hAnsi="Times New Roman" w:hint="eastAsia"/>
          <w:sz w:val="24"/>
          <w:szCs w:val="24"/>
        </w:rPr>
        <w:lastRenderedPageBreak/>
        <w:t>十一、基金费用</w:t>
      </w:r>
      <w:bookmarkEnd w:id="107"/>
      <w:bookmarkEnd w:id="108"/>
    </w:p>
    <w:p w14:paraId="3E59E57C" w14:textId="77777777" w:rsidR="00BC7646" w:rsidRDefault="00000000">
      <w:pPr>
        <w:spacing w:line="360" w:lineRule="auto"/>
        <w:ind w:firstLineChars="200" w:firstLine="480"/>
        <w:rPr>
          <w:rFonts w:ascii="宋体" w:hAnsi="宋体" w:cs="Arial"/>
          <w:bCs/>
          <w:sz w:val="24"/>
        </w:rPr>
      </w:pPr>
      <w:r>
        <w:rPr>
          <w:rFonts w:ascii="宋体" w:hAnsi="宋体" w:cs="Arial" w:hint="eastAsia"/>
          <w:bCs/>
          <w:sz w:val="24"/>
        </w:rPr>
        <w:t>（一）基金管理费的计提比例和计提方法</w:t>
      </w:r>
    </w:p>
    <w:p w14:paraId="19C59C38" w14:textId="77777777" w:rsidR="00BC7646" w:rsidRDefault="00000000">
      <w:pPr>
        <w:spacing w:line="360" w:lineRule="auto"/>
        <w:ind w:firstLineChars="200" w:firstLine="480"/>
        <w:rPr>
          <w:rFonts w:ascii="宋体" w:hAnsi="宋体"/>
          <w:bCs/>
          <w:sz w:val="24"/>
        </w:rPr>
      </w:pPr>
      <w:r>
        <w:rPr>
          <w:rFonts w:ascii="宋体" w:hAnsi="宋体"/>
          <w:bCs/>
          <w:sz w:val="24"/>
        </w:rPr>
        <w:t>本基金的管理费按前一日基金资产净值的</w:t>
      </w:r>
      <w:r>
        <w:rPr>
          <w:rFonts w:ascii="宋体" w:hAnsi="宋体" w:hint="eastAsia"/>
          <w:bCs/>
          <w:sz w:val="24"/>
        </w:rPr>
        <w:t>0.3</w:t>
      </w:r>
      <w:r>
        <w:rPr>
          <w:rFonts w:ascii="宋体" w:hAnsi="宋体"/>
          <w:bCs/>
          <w:sz w:val="24"/>
        </w:rPr>
        <w:t>%年费率计提。管理费的计算方法如下：</w:t>
      </w:r>
    </w:p>
    <w:p w14:paraId="4D06BF79" w14:textId="77777777" w:rsidR="00BC7646" w:rsidRDefault="00000000">
      <w:pPr>
        <w:spacing w:line="360" w:lineRule="auto"/>
        <w:ind w:firstLineChars="200" w:firstLine="480"/>
        <w:rPr>
          <w:rFonts w:ascii="宋体" w:hAnsi="宋体"/>
          <w:bCs/>
          <w:sz w:val="24"/>
        </w:rPr>
      </w:pPr>
      <w:r>
        <w:rPr>
          <w:rFonts w:ascii="宋体" w:hAnsi="宋体"/>
          <w:bCs/>
          <w:sz w:val="24"/>
        </w:rPr>
        <w:t>H＝E×</w:t>
      </w:r>
      <w:r>
        <w:rPr>
          <w:rFonts w:ascii="宋体" w:hAnsi="宋体" w:hint="eastAsia"/>
          <w:bCs/>
          <w:sz w:val="24"/>
        </w:rPr>
        <w:t>0.3</w:t>
      </w:r>
      <w:r>
        <w:rPr>
          <w:rFonts w:ascii="宋体" w:hAnsi="宋体"/>
          <w:bCs/>
          <w:sz w:val="24"/>
        </w:rPr>
        <w:t>%÷当年天数</w:t>
      </w:r>
    </w:p>
    <w:p w14:paraId="16EC6877" w14:textId="77777777" w:rsidR="00BC7646" w:rsidRDefault="00000000">
      <w:pPr>
        <w:spacing w:line="360" w:lineRule="auto"/>
        <w:ind w:firstLineChars="200" w:firstLine="480"/>
        <w:rPr>
          <w:rFonts w:ascii="宋体" w:hAnsi="宋体"/>
          <w:bCs/>
          <w:sz w:val="24"/>
        </w:rPr>
      </w:pPr>
      <w:r>
        <w:rPr>
          <w:rFonts w:ascii="宋体" w:hAnsi="宋体"/>
          <w:bCs/>
          <w:sz w:val="24"/>
        </w:rPr>
        <w:t>H为每日应计提的基金管理费</w:t>
      </w:r>
    </w:p>
    <w:p w14:paraId="0670591A" w14:textId="77777777" w:rsidR="00BC7646" w:rsidRDefault="00000000">
      <w:pPr>
        <w:spacing w:line="360" w:lineRule="auto"/>
        <w:ind w:firstLineChars="200" w:firstLine="480"/>
        <w:rPr>
          <w:rFonts w:ascii="宋体" w:hAnsi="宋体"/>
          <w:bCs/>
          <w:sz w:val="24"/>
        </w:rPr>
      </w:pPr>
      <w:r>
        <w:rPr>
          <w:rFonts w:ascii="宋体" w:hAnsi="宋体"/>
          <w:bCs/>
          <w:sz w:val="24"/>
        </w:rPr>
        <w:t>E为前一日的基金资产净值</w:t>
      </w:r>
    </w:p>
    <w:p w14:paraId="1F16F2F2" w14:textId="77777777" w:rsidR="00BC7646" w:rsidRDefault="00000000">
      <w:pPr>
        <w:spacing w:line="360" w:lineRule="auto"/>
        <w:ind w:firstLineChars="200" w:firstLine="480"/>
        <w:rPr>
          <w:rFonts w:ascii="宋体" w:hAnsi="宋体" w:cs="Arial"/>
          <w:bCs/>
          <w:sz w:val="24"/>
        </w:rPr>
      </w:pPr>
      <w:r>
        <w:rPr>
          <w:rFonts w:ascii="宋体" w:hAnsi="宋体" w:hint="eastAsia"/>
          <w:bCs/>
          <w:sz w:val="24"/>
        </w:rPr>
        <w:t>基金管理费每日计提，按月支付，由基金管理人向基金托管人发送基金管理费划款指令，基金托管人复核后于次月首日起5个工作日内从基金财产中一次性支付给基金管理人。若遇法定节假日、公休假或不可抗力等致使无法按时支付的，支付日期顺延至最近可支付日支付。</w:t>
      </w:r>
    </w:p>
    <w:p w14:paraId="4E72DFBE" w14:textId="77777777" w:rsidR="00BC7646" w:rsidRDefault="00000000">
      <w:pPr>
        <w:spacing w:line="360" w:lineRule="auto"/>
        <w:ind w:firstLineChars="200" w:firstLine="480"/>
        <w:rPr>
          <w:rFonts w:ascii="宋体" w:hAnsi="宋体" w:cs="Arial"/>
          <w:bCs/>
          <w:sz w:val="24"/>
        </w:rPr>
      </w:pPr>
      <w:r>
        <w:rPr>
          <w:rFonts w:ascii="宋体" w:hAnsi="宋体" w:cs="Arial" w:hint="eastAsia"/>
          <w:bCs/>
          <w:sz w:val="24"/>
        </w:rPr>
        <w:t>（二）基金托管费的计提比例和计提方法</w:t>
      </w:r>
    </w:p>
    <w:p w14:paraId="27FE4DD9" w14:textId="77777777" w:rsidR="00BC7646" w:rsidRDefault="00000000">
      <w:pPr>
        <w:spacing w:line="360" w:lineRule="auto"/>
        <w:ind w:firstLineChars="200" w:firstLine="480"/>
        <w:rPr>
          <w:rFonts w:ascii="宋体" w:hAnsi="宋体" w:cs="Arial"/>
          <w:bCs/>
          <w:sz w:val="24"/>
        </w:rPr>
      </w:pPr>
      <w:r>
        <w:rPr>
          <w:rFonts w:ascii="宋体" w:hAnsi="宋体" w:cs="Arial"/>
          <w:bCs/>
          <w:sz w:val="24"/>
        </w:rPr>
        <w:t>本基金的托管费按前一日基金资产净值的</w:t>
      </w:r>
      <w:r>
        <w:rPr>
          <w:rFonts w:ascii="宋体" w:hAnsi="宋体" w:cs="Arial" w:hint="eastAsia"/>
          <w:bCs/>
          <w:sz w:val="24"/>
        </w:rPr>
        <w:t>0.</w:t>
      </w:r>
      <w:r>
        <w:rPr>
          <w:rFonts w:ascii="宋体" w:hAnsi="宋体" w:cs="Arial"/>
          <w:bCs/>
          <w:sz w:val="24"/>
        </w:rPr>
        <w:t>1%的年费率计提。托管费的计算方法如下：</w:t>
      </w:r>
    </w:p>
    <w:p w14:paraId="61FD3ECB" w14:textId="77777777" w:rsidR="00BC7646" w:rsidRDefault="00000000">
      <w:pPr>
        <w:spacing w:line="360" w:lineRule="auto"/>
        <w:ind w:firstLineChars="200" w:firstLine="480"/>
        <w:rPr>
          <w:rFonts w:ascii="宋体" w:hAnsi="宋体" w:cs="Arial"/>
          <w:bCs/>
          <w:sz w:val="24"/>
        </w:rPr>
      </w:pPr>
      <w:r>
        <w:rPr>
          <w:rFonts w:ascii="宋体" w:hAnsi="宋体" w:cs="Arial"/>
          <w:bCs/>
          <w:sz w:val="24"/>
        </w:rPr>
        <w:t>H＝E×</w:t>
      </w:r>
      <w:r>
        <w:rPr>
          <w:rFonts w:ascii="宋体" w:hAnsi="宋体" w:cs="Arial" w:hint="eastAsia"/>
          <w:bCs/>
          <w:sz w:val="24"/>
        </w:rPr>
        <w:t>0.</w:t>
      </w:r>
      <w:r>
        <w:rPr>
          <w:rFonts w:ascii="宋体" w:hAnsi="宋体" w:cs="Arial"/>
          <w:bCs/>
          <w:sz w:val="24"/>
        </w:rPr>
        <w:t>1%÷当年天数</w:t>
      </w:r>
    </w:p>
    <w:p w14:paraId="4B5EDE18" w14:textId="77777777" w:rsidR="00BC7646" w:rsidRDefault="00000000">
      <w:pPr>
        <w:spacing w:line="360" w:lineRule="auto"/>
        <w:ind w:firstLineChars="200" w:firstLine="480"/>
        <w:rPr>
          <w:rFonts w:ascii="宋体" w:hAnsi="宋体" w:cs="Arial"/>
          <w:bCs/>
          <w:sz w:val="24"/>
        </w:rPr>
      </w:pPr>
      <w:r>
        <w:rPr>
          <w:rFonts w:ascii="宋体" w:hAnsi="宋体" w:cs="Arial"/>
          <w:bCs/>
          <w:sz w:val="24"/>
        </w:rPr>
        <w:t>H为每日应计提的基金托管费</w:t>
      </w:r>
    </w:p>
    <w:p w14:paraId="117B0B39" w14:textId="77777777" w:rsidR="00BC7646" w:rsidRDefault="00000000">
      <w:pPr>
        <w:spacing w:line="360" w:lineRule="auto"/>
        <w:ind w:firstLineChars="200" w:firstLine="480"/>
        <w:rPr>
          <w:rFonts w:ascii="宋体" w:hAnsi="宋体" w:cs="Arial"/>
          <w:bCs/>
          <w:sz w:val="24"/>
        </w:rPr>
      </w:pPr>
      <w:r>
        <w:rPr>
          <w:rFonts w:ascii="宋体" w:hAnsi="宋体" w:cs="Arial"/>
          <w:bCs/>
          <w:sz w:val="24"/>
        </w:rPr>
        <w:t>E为前一日的基金资产净值</w:t>
      </w:r>
    </w:p>
    <w:p w14:paraId="386A4EA4" w14:textId="77777777" w:rsidR="00BC7646" w:rsidRDefault="00000000">
      <w:pPr>
        <w:spacing w:line="360" w:lineRule="auto"/>
        <w:ind w:firstLineChars="200" w:firstLine="480"/>
        <w:rPr>
          <w:rFonts w:ascii="宋体" w:hAnsi="宋体" w:cs="Arial"/>
          <w:bCs/>
          <w:sz w:val="24"/>
        </w:rPr>
      </w:pPr>
      <w:r>
        <w:rPr>
          <w:rFonts w:ascii="宋体" w:hAnsi="宋体" w:cs="Arial" w:hint="eastAsia"/>
          <w:bCs/>
          <w:sz w:val="24"/>
        </w:rPr>
        <w:t>基金托管费每日计提，按月支付，由基金管理人向基金托管人发送基金托管费划款指令，基金托管人复核后于次月首日起5个工作日内从基金财产中一次性支取。若遇法定节假日、公休假或不可抗力等致使无法按时支付的，支付日期顺延至最近可支付日支付。</w:t>
      </w:r>
    </w:p>
    <w:p w14:paraId="6157C79D" w14:textId="77777777" w:rsidR="00BC7646" w:rsidRDefault="00000000">
      <w:pPr>
        <w:spacing w:line="360" w:lineRule="auto"/>
        <w:ind w:firstLineChars="200" w:firstLine="480"/>
        <w:rPr>
          <w:rFonts w:ascii="Times New Roman" w:hAnsi="Times New Roman"/>
          <w:bCs/>
          <w:sz w:val="24"/>
          <w:szCs w:val="20"/>
        </w:rPr>
      </w:pPr>
      <w:r>
        <w:rPr>
          <w:rFonts w:ascii="Times New Roman" w:hAnsi="Times New Roman" w:hint="eastAsia"/>
          <w:bCs/>
          <w:sz w:val="24"/>
          <w:szCs w:val="20"/>
        </w:rPr>
        <w:t>（三）</w:t>
      </w:r>
      <w:r>
        <w:rPr>
          <w:rFonts w:ascii="Times New Roman" w:hAnsi="Times New Roman"/>
          <w:bCs/>
          <w:sz w:val="24"/>
          <w:szCs w:val="20"/>
        </w:rPr>
        <w:t xml:space="preserve">C </w:t>
      </w:r>
      <w:r>
        <w:rPr>
          <w:rFonts w:ascii="Times New Roman" w:hAnsi="Times New Roman" w:hint="eastAsia"/>
          <w:bCs/>
          <w:sz w:val="24"/>
          <w:szCs w:val="20"/>
        </w:rPr>
        <w:t>类基金份额的销售服务费</w:t>
      </w:r>
    </w:p>
    <w:p w14:paraId="7F91AA4C" w14:textId="77777777" w:rsidR="00BC7646" w:rsidRDefault="00000000">
      <w:pPr>
        <w:spacing w:line="360" w:lineRule="auto"/>
        <w:ind w:firstLineChars="200" w:firstLine="480"/>
        <w:rPr>
          <w:rFonts w:ascii="Times New Roman" w:hAnsi="Times New Roman"/>
          <w:bCs/>
          <w:sz w:val="24"/>
          <w:szCs w:val="20"/>
        </w:rPr>
      </w:pPr>
      <w:r>
        <w:rPr>
          <w:rFonts w:ascii="Times New Roman" w:hAnsi="Times New Roman" w:hint="eastAsia"/>
          <w:bCs/>
          <w:sz w:val="24"/>
          <w:szCs w:val="20"/>
        </w:rPr>
        <w:t>本基金</w:t>
      </w:r>
      <w:r>
        <w:rPr>
          <w:rFonts w:ascii="Times New Roman" w:hAnsi="Times New Roman"/>
          <w:bCs/>
          <w:sz w:val="24"/>
          <w:szCs w:val="20"/>
        </w:rPr>
        <w:t xml:space="preserve">A </w:t>
      </w:r>
      <w:r>
        <w:rPr>
          <w:rFonts w:ascii="Times New Roman" w:hAnsi="Times New Roman" w:hint="eastAsia"/>
          <w:bCs/>
          <w:sz w:val="24"/>
          <w:szCs w:val="20"/>
        </w:rPr>
        <w:t>类基金份额不收取销售服务费，</w:t>
      </w:r>
      <w:r>
        <w:rPr>
          <w:rFonts w:ascii="Times New Roman" w:hAnsi="Times New Roman"/>
          <w:bCs/>
          <w:sz w:val="24"/>
          <w:szCs w:val="20"/>
        </w:rPr>
        <w:t xml:space="preserve">C </w:t>
      </w:r>
      <w:r>
        <w:rPr>
          <w:rFonts w:ascii="Times New Roman" w:hAnsi="Times New Roman" w:hint="eastAsia"/>
          <w:bCs/>
          <w:sz w:val="24"/>
          <w:szCs w:val="20"/>
        </w:rPr>
        <w:t>类基金份额的销售服务费年费率为</w:t>
      </w:r>
      <w:r>
        <w:rPr>
          <w:rFonts w:ascii="Times New Roman" w:hAnsi="Times New Roman"/>
          <w:bCs/>
          <w:sz w:val="24"/>
          <w:szCs w:val="20"/>
        </w:rPr>
        <w:t>0.2%</w:t>
      </w:r>
      <w:r>
        <w:rPr>
          <w:rFonts w:ascii="Times New Roman" w:hAnsi="Times New Roman" w:hint="eastAsia"/>
          <w:bCs/>
          <w:sz w:val="24"/>
          <w:szCs w:val="20"/>
        </w:rPr>
        <w:t>。本基金销售服务费将专门用于本基金的销售与基金份额持有人服务，基金管理人将在基金年度报告中对该项费用的列支情况作专项说明。</w:t>
      </w:r>
    </w:p>
    <w:p w14:paraId="123F24C4" w14:textId="77777777" w:rsidR="00BC7646" w:rsidRDefault="00000000">
      <w:pPr>
        <w:spacing w:line="360" w:lineRule="auto"/>
        <w:ind w:firstLineChars="200" w:firstLine="480"/>
        <w:rPr>
          <w:rFonts w:ascii="Times New Roman" w:hAnsi="Times New Roman"/>
          <w:bCs/>
          <w:sz w:val="24"/>
          <w:szCs w:val="20"/>
        </w:rPr>
      </w:pPr>
      <w:r>
        <w:rPr>
          <w:rFonts w:ascii="Times New Roman" w:hAnsi="Times New Roman" w:hint="eastAsia"/>
          <w:bCs/>
          <w:sz w:val="24"/>
          <w:szCs w:val="20"/>
        </w:rPr>
        <w:t>销售服务费计提的计算公式如下：</w:t>
      </w:r>
    </w:p>
    <w:p w14:paraId="1B72301F" w14:textId="77777777" w:rsidR="00BC7646" w:rsidRDefault="00000000">
      <w:pPr>
        <w:spacing w:line="360" w:lineRule="auto"/>
        <w:ind w:firstLineChars="200" w:firstLine="480"/>
        <w:rPr>
          <w:rFonts w:ascii="Times New Roman" w:hAnsi="Times New Roman"/>
          <w:bCs/>
          <w:sz w:val="24"/>
          <w:szCs w:val="20"/>
        </w:rPr>
      </w:pPr>
      <w:r>
        <w:rPr>
          <w:rFonts w:ascii="Times New Roman" w:hAnsi="Times New Roman"/>
          <w:bCs/>
          <w:sz w:val="24"/>
          <w:szCs w:val="20"/>
        </w:rPr>
        <w:t>H=E</w:t>
      </w:r>
      <w:r>
        <w:rPr>
          <w:rFonts w:ascii="Times New Roman" w:hAnsi="Times New Roman" w:hint="eastAsia"/>
          <w:bCs/>
          <w:sz w:val="24"/>
          <w:szCs w:val="20"/>
        </w:rPr>
        <w:t>×</w:t>
      </w:r>
      <w:r>
        <w:rPr>
          <w:rFonts w:ascii="Times New Roman" w:hAnsi="Times New Roman"/>
          <w:bCs/>
          <w:sz w:val="24"/>
          <w:szCs w:val="20"/>
        </w:rPr>
        <w:t>0.2%</w:t>
      </w:r>
      <w:r>
        <w:rPr>
          <w:rFonts w:ascii="Times New Roman" w:hAnsi="Times New Roman" w:hint="eastAsia"/>
          <w:bCs/>
          <w:sz w:val="24"/>
          <w:szCs w:val="20"/>
        </w:rPr>
        <w:t>÷当年天数</w:t>
      </w:r>
    </w:p>
    <w:p w14:paraId="06ACE297" w14:textId="77777777" w:rsidR="00BC7646" w:rsidRDefault="00000000">
      <w:pPr>
        <w:spacing w:line="360" w:lineRule="auto"/>
        <w:ind w:firstLineChars="200" w:firstLine="480"/>
        <w:rPr>
          <w:rFonts w:ascii="Times New Roman" w:hAnsi="Times New Roman"/>
          <w:bCs/>
          <w:sz w:val="24"/>
          <w:szCs w:val="20"/>
        </w:rPr>
      </w:pPr>
      <w:r>
        <w:rPr>
          <w:rFonts w:ascii="Times New Roman" w:hAnsi="Times New Roman"/>
          <w:bCs/>
          <w:sz w:val="24"/>
          <w:szCs w:val="20"/>
        </w:rPr>
        <w:t xml:space="preserve">H </w:t>
      </w:r>
      <w:r>
        <w:rPr>
          <w:rFonts w:ascii="Times New Roman" w:hAnsi="Times New Roman" w:hint="eastAsia"/>
          <w:bCs/>
          <w:sz w:val="24"/>
          <w:szCs w:val="20"/>
        </w:rPr>
        <w:t>为</w:t>
      </w:r>
      <w:r>
        <w:rPr>
          <w:rFonts w:ascii="Times New Roman" w:hAnsi="Times New Roman"/>
          <w:bCs/>
          <w:sz w:val="24"/>
          <w:szCs w:val="20"/>
        </w:rPr>
        <w:t xml:space="preserve">C </w:t>
      </w:r>
      <w:r>
        <w:rPr>
          <w:rFonts w:ascii="Times New Roman" w:hAnsi="Times New Roman" w:hint="eastAsia"/>
          <w:bCs/>
          <w:sz w:val="24"/>
          <w:szCs w:val="20"/>
        </w:rPr>
        <w:t>类基金份额每日应计提的销售服务费</w:t>
      </w:r>
    </w:p>
    <w:p w14:paraId="317D7FB7" w14:textId="77777777" w:rsidR="00BC7646" w:rsidRDefault="00000000">
      <w:pPr>
        <w:spacing w:line="360" w:lineRule="auto"/>
        <w:ind w:firstLineChars="200" w:firstLine="480"/>
        <w:rPr>
          <w:rFonts w:ascii="Times New Roman" w:hAnsi="Times New Roman"/>
          <w:bCs/>
          <w:sz w:val="24"/>
          <w:szCs w:val="20"/>
        </w:rPr>
      </w:pPr>
      <w:r>
        <w:rPr>
          <w:rFonts w:ascii="Times New Roman" w:hAnsi="Times New Roman"/>
          <w:bCs/>
          <w:sz w:val="24"/>
          <w:szCs w:val="20"/>
        </w:rPr>
        <w:t xml:space="preserve">E </w:t>
      </w:r>
      <w:r>
        <w:rPr>
          <w:rFonts w:ascii="Times New Roman" w:hAnsi="Times New Roman" w:hint="eastAsia"/>
          <w:bCs/>
          <w:sz w:val="24"/>
          <w:szCs w:val="20"/>
        </w:rPr>
        <w:t>为</w:t>
      </w:r>
      <w:r>
        <w:rPr>
          <w:rFonts w:ascii="Times New Roman" w:hAnsi="Times New Roman"/>
          <w:bCs/>
          <w:sz w:val="24"/>
          <w:szCs w:val="20"/>
        </w:rPr>
        <w:t xml:space="preserve">C </w:t>
      </w:r>
      <w:r>
        <w:rPr>
          <w:rFonts w:ascii="Times New Roman" w:hAnsi="Times New Roman" w:hint="eastAsia"/>
          <w:bCs/>
          <w:sz w:val="24"/>
          <w:szCs w:val="20"/>
        </w:rPr>
        <w:t>类基金份额前一日的基金资产净值</w:t>
      </w:r>
    </w:p>
    <w:p w14:paraId="3699668C" w14:textId="77777777" w:rsidR="00BC7646" w:rsidRDefault="00000000">
      <w:pPr>
        <w:spacing w:line="360" w:lineRule="auto"/>
        <w:ind w:firstLineChars="200" w:firstLine="480"/>
        <w:rPr>
          <w:rFonts w:ascii="Times New Roman" w:hAnsi="Times New Roman"/>
          <w:bCs/>
          <w:sz w:val="24"/>
          <w:szCs w:val="20"/>
        </w:rPr>
      </w:pPr>
      <w:r>
        <w:rPr>
          <w:rFonts w:ascii="Times New Roman" w:hAnsi="Times New Roman" w:hint="eastAsia"/>
          <w:bCs/>
          <w:sz w:val="24"/>
          <w:szCs w:val="20"/>
        </w:rPr>
        <w:lastRenderedPageBreak/>
        <w:t>基金销售服务费每日计提，逐日累计至每月月末，按月支付。由基金管理人向基金托管人发送基金销售服务费划款指令，基金托管人复核后于次月首日起</w:t>
      </w:r>
      <w:r>
        <w:rPr>
          <w:rFonts w:ascii="Times New Roman" w:hAnsi="Times New Roman"/>
          <w:bCs/>
          <w:sz w:val="24"/>
          <w:szCs w:val="20"/>
        </w:rPr>
        <w:t>5</w:t>
      </w:r>
      <w:r>
        <w:rPr>
          <w:rFonts w:ascii="Times New Roman" w:hAnsi="Times New Roman" w:hint="eastAsia"/>
          <w:bCs/>
          <w:sz w:val="24"/>
          <w:szCs w:val="20"/>
        </w:rPr>
        <w:t>个工作日内从基金财产中一次性支付给登记机构，由登记机构代付给销售机构。若遇法定节假日、休息日或不可抗力致使无法按时支付的，支付日期顺延。</w:t>
      </w:r>
    </w:p>
    <w:p w14:paraId="35FFE53F"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其他基金费用按照《基金合同》的约定计提和支付。基金托管人发现基金管理人违反《基金法》、基金合同、《运作办法》及其他有关规定从基金财产中列支费用时，基金托管人可要求基金管理人予以说明解释，如基金管理人无正当理由，基金托管人可拒绝支付。</w:t>
      </w:r>
    </w:p>
    <w:p w14:paraId="350A7A4E"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本基金实施</w:t>
      </w:r>
      <w:proofErr w:type="gramStart"/>
      <w:r>
        <w:rPr>
          <w:rFonts w:ascii="宋体" w:hAnsi="宋体" w:cs="Arial" w:hint="eastAsia"/>
          <w:sz w:val="24"/>
        </w:rPr>
        <w:t>侧袋机制</w:t>
      </w:r>
      <w:proofErr w:type="gramEnd"/>
      <w:r>
        <w:rPr>
          <w:rFonts w:ascii="宋体" w:hAnsi="宋体" w:cs="Arial" w:hint="eastAsia"/>
          <w:sz w:val="24"/>
        </w:rPr>
        <w:t>的，</w:t>
      </w:r>
      <w:proofErr w:type="gramStart"/>
      <w:r>
        <w:rPr>
          <w:rFonts w:ascii="宋体" w:hAnsi="宋体" w:cs="Arial" w:hint="eastAsia"/>
          <w:sz w:val="24"/>
        </w:rPr>
        <w:t>与侧袋账户</w:t>
      </w:r>
      <w:proofErr w:type="gramEnd"/>
      <w:r>
        <w:rPr>
          <w:rFonts w:ascii="宋体" w:hAnsi="宋体" w:cs="Arial" w:hint="eastAsia"/>
          <w:sz w:val="24"/>
        </w:rPr>
        <w:t>有关的费用可以</w:t>
      </w:r>
      <w:proofErr w:type="gramStart"/>
      <w:r>
        <w:rPr>
          <w:rFonts w:ascii="宋体" w:hAnsi="宋体" w:cs="Arial" w:hint="eastAsia"/>
          <w:sz w:val="24"/>
        </w:rPr>
        <w:t>从侧袋账户</w:t>
      </w:r>
      <w:proofErr w:type="gramEnd"/>
      <w:r>
        <w:rPr>
          <w:rFonts w:ascii="宋体" w:hAnsi="宋体" w:cs="Arial" w:hint="eastAsia"/>
          <w:sz w:val="24"/>
        </w:rPr>
        <w:t>中列支，但应</w:t>
      </w:r>
      <w:proofErr w:type="gramStart"/>
      <w:r>
        <w:rPr>
          <w:rFonts w:ascii="宋体" w:hAnsi="宋体" w:cs="Arial" w:hint="eastAsia"/>
          <w:sz w:val="24"/>
        </w:rPr>
        <w:t>待侧袋</w:t>
      </w:r>
      <w:proofErr w:type="gramEnd"/>
      <w:r>
        <w:rPr>
          <w:rFonts w:ascii="宋体" w:hAnsi="宋体" w:cs="Arial" w:hint="eastAsia"/>
          <w:sz w:val="24"/>
        </w:rPr>
        <w:t>账户资产变现后方可列支，有关费用可酌情收取或减免，但不得收取管理费，详见招募说明书的规定。</w:t>
      </w:r>
    </w:p>
    <w:p w14:paraId="6E02C2B2" w14:textId="77777777" w:rsidR="00BC7646" w:rsidRDefault="00000000">
      <w:pPr>
        <w:spacing w:line="360" w:lineRule="auto"/>
        <w:ind w:firstLineChars="200" w:firstLine="480"/>
        <w:rPr>
          <w:sz w:val="24"/>
        </w:rPr>
      </w:pPr>
      <w:r>
        <w:rPr>
          <w:sz w:val="24"/>
        </w:rPr>
        <w:tab/>
      </w:r>
    </w:p>
    <w:p w14:paraId="7AF427FD" w14:textId="77777777" w:rsidR="00BC7646" w:rsidRDefault="00000000">
      <w:pPr>
        <w:pStyle w:val="2"/>
        <w:spacing w:beforeLines="100" w:before="312" w:afterLines="50" w:after="156" w:line="360" w:lineRule="auto"/>
        <w:jc w:val="center"/>
        <w:rPr>
          <w:rFonts w:ascii="Times New Roman" w:eastAsia="宋体" w:hAnsi="Times New Roman"/>
          <w:sz w:val="24"/>
          <w:szCs w:val="24"/>
        </w:rPr>
      </w:pPr>
      <w:r>
        <w:rPr>
          <w:rFonts w:ascii="Times New Roman" w:eastAsia="宋体" w:hAnsi="Times New Roman"/>
          <w:sz w:val="24"/>
          <w:szCs w:val="24"/>
        </w:rPr>
        <w:br w:type="page"/>
      </w:r>
      <w:bookmarkStart w:id="109" w:name="_Toc69371534"/>
      <w:bookmarkStart w:id="110" w:name="_Toc348082040"/>
      <w:r>
        <w:rPr>
          <w:rFonts w:ascii="Times New Roman" w:eastAsia="宋体" w:hAnsi="Times New Roman" w:hint="eastAsia"/>
          <w:sz w:val="24"/>
          <w:szCs w:val="24"/>
        </w:rPr>
        <w:lastRenderedPageBreak/>
        <w:t>十二、基金份额持有人名册的保管</w:t>
      </w:r>
      <w:bookmarkEnd w:id="109"/>
      <w:bookmarkEnd w:id="110"/>
    </w:p>
    <w:p w14:paraId="03AF0289" w14:textId="77777777" w:rsidR="00BC7646" w:rsidRDefault="00000000">
      <w:pPr>
        <w:spacing w:line="360" w:lineRule="auto"/>
        <w:ind w:firstLineChars="200" w:firstLine="480"/>
        <w:rPr>
          <w:rFonts w:ascii="宋体" w:hAnsi="宋体" w:cs="Arial"/>
          <w:sz w:val="24"/>
        </w:rPr>
      </w:pPr>
      <w:bookmarkStart w:id="111" w:name="_Hlk38447239"/>
      <w:r>
        <w:rPr>
          <w:rFonts w:ascii="宋体" w:hAnsi="宋体" w:cs="Arial" w:hint="eastAsia"/>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低于法律法规规定的最低期限，法律法规或有权机关另有规定的除外。如不能妥善保管，则按相关法律法规承担责任。</w:t>
      </w:r>
    </w:p>
    <w:p w14:paraId="6C00EB5A"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在基金托管人要求或编制中期报告和年度报告前，基金管理人应将有关资料送交基金托管人，不得无故拒绝或延误提供，并保证其的真实性、准确性和完整性。基金管理人和基金托管人不得将所保管的基金份额持有人名册用于基金托管业务以外的其他用途，并应遵守保密义务。</w:t>
      </w:r>
      <w:proofErr w:type="gramStart"/>
      <w:r>
        <w:rPr>
          <w:rFonts w:ascii="宋体" w:hAnsi="宋体" w:cs="Arial" w:hint="eastAsia"/>
          <w:sz w:val="24"/>
        </w:rPr>
        <w:t>若基金</w:t>
      </w:r>
      <w:proofErr w:type="gramEnd"/>
      <w:r>
        <w:rPr>
          <w:rFonts w:ascii="宋体" w:hAnsi="宋体" w:cs="Arial" w:hint="eastAsia"/>
          <w:sz w:val="24"/>
        </w:rPr>
        <w:t>管理人或基金托管人由于自身原因无法妥善保管基金份额持有人名册，应按有关法规规定各自承担相应的责任。</w:t>
      </w:r>
    </w:p>
    <w:bookmarkEnd w:id="111"/>
    <w:p w14:paraId="7A51D4A0" w14:textId="77777777" w:rsidR="00BC7646" w:rsidRDefault="00000000">
      <w:pPr>
        <w:pStyle w:val="2"/>
        <w:spacing w:beforeLines="100" w:before="312" w:afterLines="50" w:after="156" w:line="360" w:lineRule="auto"/>
        <w:jc w:val="center"/>
        <w:rPr>
          <w:rFonts w:ascii="Times New Roman" w:eastAsia="宋体" w:hAnsi="Times New Roman"/>
          <w:sz w:val="24"/>
          <w:szCs w:val="24"/>
        </w:rPr>
      </w:pPr>
      <w:r>
        <w:rPr>
          <w:rFonts w:ascii="Times New Roman" w:eastAsia="宋体" w:hAnsi="Times New Roman"/>
          <w:b w:val="0"/>
          <w:sz w:val="24"/>
          <w:szCs w:val="24"/>
        </w:rPr>
        <w:br w:type="page"/>
      </w:r>
      <w:bookmarkStart w:id="112" w:name="_Toc348082041"/>
      <w:bookmarkStart w:id="113" w:name="_Toc69371535"/>
      <w:r>
        <w:rPr>
          <w:rFonts w:ascii="Times New Roman" w:eastAsia="宋体" w:hAnsi="Times New Roman" w:hint="eastAsia"/>
          <w:sz w:val="24"/>
          <w:szCs w:val="24"/>
        </w:rPr>
        <w:lastRenderedPageBreak/>
        <w:t>十三、基金有关文件档案的保存</w:t>
      </w:r>
      <w:bookmarkEnd w:id="112"/>
      <w:bookmarkEnd w:id="113"/>
    </w:p>
    <w:p w14:paraId="305704EC"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（一）档案保存</w:t>
      </w:r>
    </w:p>
    <w:p w14:paraId="1564A2E2"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低于法律法规规定的最低期限。</w:t>
      </w:r>
    </w:p>
    <w:p w14:paraId="50C98713"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（二）合同档案的建立</w:t>
      </w:r>
    </w:p>
    <w:p w14:paraId="5E4FCEF9" w14:textId="77777777" w:rsidR="00BC7646" w:rsidRDefault="00000000">
      <w:pPr>
        <w:spacing w:line="360" w:lineRule="auto"/>
        <w:ind w:firstLineChars="200" w:firstLine="480"/>
        <w:rPr>
          <w:rFonts w:ascii="宋体" w:hAnsi="宋体" w:cs="Arial"/>
          <w:sz w:val="24"/>
        </w:rPr>
      </w:pPr>
      <w:r>
        <w:rPr>
          <w:rFonts w:ascii="宋体" w:hAnsi="宋体" w:cs="Arial"/>
          <w:sz w:val="24"/>
        </w:rPr>
        <w:t>1</w:t>
      </w:r>
      <w:r>
        <w:rPr>
          <w:rFonts w:ascii="宋体" w:hAnsi="宋体" w:cs="Arial" w:hint="eastAsia"/>
          <w:sz w:val="24"/>
        </w:rPr>
        <w:t>、基金管理人签署重大合同文本后，应及时将合同文本正本送达基金托管人处。对于无法取得二份以上的正本的，基金管理人应向基金托管人提供加盖公司公章的合同传真件或复印件，未经双方协商或未在合同约定范围内，合同原件不得转移。</w:t>
      </w:r>
    </w:p>
    <w:p w14:paraId="36C415F4" w14:textId="77777777" w:rsidR="00BC7646" w:rsidRDefault="00000000">
      <w:pPr>
        <w:spacing w:line="360" w:lineRule="auto"/>
        <w:ind w:firstLineChars="200" w:firstLine="480"/>
        <w:rPr>
          <w:rFonts w:ascii="宋体" w:hAnsi="宋体" w:cs="Arial"/>
          <w:sz w:val="24"/>
        </w:rPr>
      </w:pPr>
      <w:r>
        <w:rPr>
          <w:rFonts w:ascii="宋体" w:hAnsi="宋体" w:cs="Arial"/>
          <w:sz w:val="24"/>
        </w:rPr>
        <w:t>2</w:t>
      </w:r>
      <w:r>
        <w:rPr>
          <w:rFonts w:ascii="宋体" w:hAnsi="宋体" w:cs="Arial" w:hint="eastAsia"/>
          <w:sz w:val="24"/>
        </w:rPr>
        <w:t>、基金管理人应及时将与本基金账务处理、资金划拨等有关的合同、协议传真至基金托管人。</w:t>
      </w:r>
    </w:p>
    <w:p w14:paraId="1B8AEFE9"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（三）变更与协助</w:t>
      </w:r>
    </w:p>
    <w:p w14:paraId="3C226EF3" w14:textId="77777777" w:rsidR="00BC7646" w:rsidRDefault="00000000">
      <w:pPr>
        <w:spacing w:line="360" w:lineRule="auto"/>
        <w:ind w:firstLineChars="200" w:firstLine="480"/>
        <w:rPr>
          <w:rFonts w:ascii="宋体" w:hAnsi="宋体" w:cs="Arial"/>
          <w:sz w:val="24"/>
        </w:rPr>
      </w:pPr>
      <w:proofErr w:type="gramStart"/>
      <w:r>
        <w:rPr>
          <w:rFonts w:ascii="宋体" w:hAnsi="宋体" w:cs="Arial" w:hint="eastAsia"/>
          <w:sz w:val="24"/>
        </w:rPr>
        <w:t>若基金</w:t>
      </w:r>
      <w:proofErr w:type="gramEnd"/>
      <w:r>
        <w:rPr>
          <w:rFonts w:ascii="宋体" w:hAnsi="宋体" w:cs="Arial" w:hint="eastAsia"/>
          <w:sz w:val="24"/>
        </w:rPr>
        <w:t>管理人</w:t>
      </w:r>
      <w:r>
        <w:rPr>
          <w:rFonts w:ascii="宋体" w:hAnsi="宋体" w:cs="Arial"/>
          <w:sz w:val="24"/>
        </w:rPr>
        <w:t>/</w:t>
      </w:r>
      <w:r>
        <w:rPr>
          <w:rFonts w:ascii="宋体" w:hAnsi="宋体" w:cs="Arial" w:hint="eastAsia"/>
          <w:sz w:val="24"/>
        </w:rPr>
        <w:t>基金托管人发生变更，未变更的一方有义务协助变更后的接任人接收相应文件。</w:t>
      </w:r>
    </w:p>
    <w:p w14:paraId="100727B0"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四）基金管理人和基金托管人应按各自职责完整保存原始凭证、记账凭证、基金账册、交易记录和重要合同等，承担保密义务并保存不低于法律法规规定的最低期限，但司法强制检查情形及法律法规规定的其它情形除外。</w:t>
      </w:r>
    </w:p>
    <w:p w14:paraId="7D8A4262" w14:textId="77777777" w:rsidR="00BC7646" w:rsidRDefault="00BC7646">
      <w:pPr>
        <w:adjustRightInd w:val="0"/>
        <w:snapToGrid w:val="0"/>
        <w:spacing w:line="360" w:lineRule="auto"/>
        <w:rPr>
          <w:sz w:val="24"/>
        </w:rPr>
      </w:pPr>
    </w:p>
    <w:p w14:paraId="3C219353" w14:textId="77777777" w:rsidR="00BC7646" w:rsidRDefault="00000000">
      <w:pPr>
        <w:pStyle w:val="2"/>
        <w:spacing w:beforeLines="100" w:before="312" w:afterLines="50" w:after="156" w:line="360" w:lineRule="auto"/>
        <w:jc w:val="center"/>
        <w:rPr>
          <w:rFonts w:ascii="Times New Roman" w:eastAsia="宋体" w:hAnsi="Times New Roman"/>
          <w:sz w:val="24"/>
          <w:szCs w:val="24"/>
        </w:rPr>
      </w:pPr>
      <w:r>
        <w:rPr>
          <w:rFonts w:ascii="Times New Roman" w:eastAsia="宋体" w:hAnsi="Times New Roman"/>
          <w:sz w:val="24"/>
          <w:szCs w:val="24"/>
        </w:rPr>
        <w:br w:type="page"/>
      </w:r>
      <w:bookmarkStart w:id="114" w:name="_Toc348082042"/>
      <w:bookmarkStart w:id="115" w:name="_Toc69371536"/>
      <w:r>
        <w:rPr>
          <w:rFonts w:ascii="Times New Roman" w:eastAsia="宋体" w:hAnsi="Times New Roman" w:hint="eastAsia"/>
          <w:sz w:val="24"/>
          <w:szCs w:val="24"/>
        </w:rPr>
        <w:lastRenderedPageBreak/>
        <w:t>十四、基金管理人和基金托管人的更换</w:t>
      </w:r>
      <w:bookmarkEnd w:id="114"/>
      <w:bookmarkEnd w:id="115"/>
    </w:p>
    <w:p w14:paraId="6F1DBC61"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（一）</w:t>
      </w:r>
      <w:r>
        <w:rPr>
          <w:rFonts w:ascii="宋体" w:hAnsi="宋体" w:cs="Arial"/>
          <w:sz w:val="24"/>
        </w:rPr>
        <w:t>基金管理人职责终止</w:t>
      </w:r>
      <w:r>
        <w:rPr>
          <w:rFonts w:ascii="宋体" w:hAnsi="宋体" w:cs="Arial" w:hint="eastAsia"/>
          <w:sz w:val="24"/>
        </w:rPr>
        <w:t>后</w:t>
      </w:r>
      <w:r>
        <w:rPr>
          <w:rFonts w:ascii="宋体" w:hAnsi="宋体" w:cs="Arial"/>
          <w:sz w:val="24"/>
        </w:rPr>
        <w:t>，</w:t>
      </w:r>
      <w:r>
        <w:rPr>
          <w:rFonts w:ascii="宋体" w:hAnsi="宋体" w:cs="Arial" w:hint="eastAsia"/>
          <w:sz w:val="24"/>
        </w:rPr>
        <w:t>仍</w:t>
      </w:r>
      <w:r>
        <w:rPr>
          <w:rFonts w:ascii="宋体" w:hAnsi="宋体" w:cs="Arial"/>
          <w:sz w:val="24"/>
        </w:rPr>
        <w:t>应妥善保管基金管理业务资料，</w:t>
      </w:r>
      <w:r>
        <w:rPr>
          <w:rFonts w:ascii="宋体" w:hAnsi="宋体" w:cs="Arial" w:hint="eastAsia"/>
          <w:sz w:val="24"/>
        </w:rPr>
        <w:t>保证不做出对基金份额持有人的利益造成损害的行为，并与</w:t>
      </w:r>
      <w:proofErr w:type="gramStart"/>
      <w:r>
        <w:rPr>
          <w:rFonts w:ascii="宋体" w:hAnsi="宋体" w:cs="Arial" w:hint="eastAsia"/>
          <w:sz w:val="24"/>
        </w:rPr>
        <w:t>新任基金</w:t>
      </w:r>
      <w:proofErr w:type="gramEnd"/>
      <w:r>
        <w:rPr>
          <w:rFonts w:ascii="宋体" w:hAnsi="宋体" w:cs="Arial" w:hint="eastAsia"/>
          <w:sz w:val="24"/>
        </w:rPr>
        <w:t>管理人或临时基金管理人</w:t>
      </w:r>
      <w:r>
        <w:rPr>
          <w:rFonts w:ascii="宋体" w:hAnsi="宋体" w:cs="Arial"/>
          <w:sz w:val="24"/>
        </w:rPr>
        <w:t>及时办理基金管理业务的移交手续。</w:t>
      </w:r>
      <w:r>
        <w:rPr>
          <w:rFonts w:ascii="宋体" w:hAnsi="宋体" w:cs="Arial" w:hint="eastAsia"/>
          <w:sz w:val="24"/>
        </w:rPr>
        <w:t>基金托管人应给予积极配合，并与</w:t>
      </w:r>
      <w:proofErr w:type="gramStart"/>
      <w:r>
        <w:rPr>
          <w:rFonts w:ascii="宋体" w:hAnsi="宋体" w:cs="Arial" w:hint="eastAsia"/>
          <w:sz w:val="24"/>
        </w:rPr>
        <w:t>新任基金</w:t>
      </w:r>
      <w:proofErr w:type="gramEnd"/>
      <w:r>
        <w:rPr>
          <w:rFonts w:ascii="宋体" w:hAnsi="宋体" w:cs="Arial" w:hint="eastAsia"/>
          <w:sz w:val="24"/>
        </w:rPr>
        <w:t>管理人或临时基金管理人核对基金资产总值和净值。</w:t>
      </w:r>
    </w:p>
    <w:p w14:paraId="62D0BE49"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（二）</w:t>
      </w:r>
      <w:r>
        <w:rPr>
          <w:rFonts w:ascii="宋体" w:hAnsi="宋体" w:cs="Arial"/>
          <w:sz w:val="24"/>
        </w:rPr>
        <w:t>基金托管人职责终止</w:t>
      </w:r>
      <w:r>
        <w:rPr>
          <w:rFonts w:ascii="宋体" w:hAnsi="宋体" w:cs="Arial" w:hint="eastAsia"/>
          <w:sz w:val="24"/>
        </w:rPr>
        <w:t>后</w:t>
      </w:r>
      <w:r>
        <w:rPr>
          <w:rFonts w:ascii="宋体" w:hAnsi="宋体" w:cs="Arial"/>
          <w:sz w:val="24"/>
        </w:rPr>
        <w:t>，</w:t>
      </w:r>
      <w:r>
        <w:rPr>
          <w:rFonts w:ascii="宋体" w:hAnsi="宋体" w:cs="Arial" w:hint="eastAsia"/>
          <w:sz w:val="24"/>
        </w:rPr>
        <w:t>仍</w:t>
      </w:r>
      <w:r>
        <w:rPr>
          <w:rFonts w:ascii="宋体" w:hAnsi="宋体" w:cs="Arial"/>
          <w:sz w:val="24"/>
        </w:rPr>
        <w:t>应妥善保管基金财产和基金托管业务资料，</w:t>
      </w:r>
      <w:r>
        <w:rPr>
          <w:rFonts w:ascii="宋体" w:hAnsi="宋体" w:cs="Arial" w:hint="eastAsia"/>
          <w:sz w:val="24"/>
        </w:rPr>
        <w:t>保证不做出对基金份额持有人的利益造成损害的行为，并与</w:t>
      </w:r>
      <w:proofErr w:type="gramStart"/>
      <w:r>
        <w:rPr>
          <w:rFonts w:ascii="宋体" w:hAnsi="宋体" w:cs="Arial" w:hint="eastAsia"/>
          <w:sz w:val="24"/>
        </w:rPr>
        <w:t>新任基金</w:t>
      </w:r>
      <w:proofErr w:type="gramEnd"/>
      <w:r>
        <w:rPr>
          <w:rFonts w:ascii="宋体" w:hAnsi="宋体" w:cs="Arial" w:hint="eastAsia"/>
          <w:sz w:val="24"/>
        </w:rPr>
        <w:t>托管人或临时基金托管人</w:t>
      </w:r>
      <w:r>
        <w:rPr>
          <w:rFonts w:ascii="宋体" w:hAnsi="宋体" w:cs="Arial"/>
          <w:sz w:val="24"/>
        </w:rPr>
        <w:t>及时办理基金财产和基金托管业务的移交手续。</w:t>
      </w:r>
      <w:r>
        <w:rPr>
          <w:rFonts w:ascii="宋体" w:hAnsi="宋体" w:cs="Arial" w:hint="eastAsia"/>
          <w:sz w:val="24"/>
        </w:rPr>
        <w:t>基金管理人应给予积极配合，并与</w:t>
      </w:r>
      <w:proofErr w:type="gramStart"/>
      <w:r>
        <w:rPr>
          <w:rFonts w:ascii="宋体" w:hAnsi="宋体" w:cs="Arial" w:hint="eastAsia"/>
          <w:sz w:val="24"/>
        </w:rPr>
        <w:t>新任基金</w:t>
      </w:r>
      <w:proofErr w:type="gramEnd"/>
      <w:r>
        <w:rPr>
          <w:rFonts w:ascii="宋体" w:hAnsi="宋体" w:cs="Arial" w:hint="eastAsia"/>
          <w:sz w:val="24"/>
        </w:rPr>
        <w:t>托管人或临时基金托管人核对基金资产总值和净值。</w:t>
      </w:r>
    </w:p>
    <w:p w14:paraId="7D20E9D5"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（三）其他事宜</w:t>
      </w:r>
      <w:proofErr w:type="gramStart"/>
      <w:r>
        <w:rPr>
          <w:rFonts w:ascii="宋体" w:hAnsi="宋体" w:cs="Arial" w:hint="eastAsia"/>
          <w:sz w:val="24"/>
        </w:rPr>
        <w:t>见基金</w:t>
      </w:r>
      <w:proofErr w:type="gramEnd"/>
      <w:r>
        <w:rPr>
          <w:rFonts w:ascii="宋体" w:hAnsi="宋体" w:cs="Arial" w:hint="eastAsia"/>
          <w:sz w:val="24"/>
        </w:rPr>
        <w:t>合同的相关约定。</w:t>
      </w:r>
    </w:p>
    <w:p w14:paraId="72B77F1F" w14:textId="77777777" w:rsidR="00BC7646" w:rsidRDefault="00BC7646">
      <w:pPr>
        <w:adjustRightInd w:val="0"/>
        <w:snapToGrid w:val="0"/>
        <w:spacing w:line="360" w:lineRule="auto"/>
        <w:rPr>
          <w:rFonts w:cs="Arial"/>
          <w:sz w:val="24"/>
        </w:rPr>
      </w:pPr>
    </w:p>
    <w:p w14:paraId="0494B416" w14:textId="77777777" w:rsidR="00BC7646" w:rsidRDefault="00000000">
      <w:pPr>
        <w:pStyle w:val="2"/>
        <w:spacing w:beforeLines="100" w:before="312" w:afterLines="50" w:after="156" w:line="360" w:lineRule="auto"/>
        <w:jc w:val="center"/>
        <w:rPr>
          <w:rFonts w:ascii="Times New Roman" w:eastAsia="宋体" w:hAnsi="Times New Roman"/>
          <w:sz w:val="24"/>
          <w:szCs w:val="24"/>
        </w:rPr>
      </w:pPr>
      <w:r>
        <w:rPr>
          <w:rFonts w:ascii="Times New Roman" w:eastAsia="宋体" w:hAnsi="Times New Roman"/>
          <w:sz w:val="24"/>
          <w:szCs w:val="24"/>
        </w:rPr>
        <w:br w:type="page"/>
      </w:r>
      <w:bookmarkStart w:id="116" w:name="_Toc69371537"/>
      <w:bookmarkStart w:id="117" w:name="_Toc348082043"/>
      <w:r>
        <w:rPr>
          <w:rFonts w:ascii="Times New Roman" w:eastAsia="宋体" w:hAnsi="Times New Roman" w:hint="eastAsia"/>
          <w:sz w:val="24"/>
          <w:szCs w:val="24"/>
        </w:rPr>
        <w:lastRenderedPageBreak/>
        <w:t>十五、禁止行为</w:t>
      </w:r>
      <w:bookmarkEnd w:id="116"/>
      <w:bookmarkEnd w:id="117"/>
    </w:p>
    <w:p w14:paraId="57CD7227"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本协议当事人禁止从事的行为，包括但不限于：</w:t>
      </w:r>
    </w:p>
    <w:p w14:paraId="7FA12AEA"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（一）基金管理人、基金托管人将其固有财产或者他人财产混同于基金财产从事证券投资。</w:t>
      </w:r>
    </w:p>
    <w:p w14:paraId="64F850A9"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（二）基金管理人不公平地对待其管理的不同基金财产，基金托管人不公平地对待其托管的不同基金财产。</w:t>
      </w:r>
    </w:p>
    <w:p w14:paraId="253B54C3"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（三）基金管理人、基金托管人利用基金财产为基金份额持有人以外的第三人牟取利益。</w:t>
      </w:r>
    </w:p>
    <w:p w14:paraId="702F8FDC"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（四）基金管理人、基金托管人向基金份额持有人违规承诺收益或者承担损失。</w:t>
      </w:r>
    </w:p>
    <w:p w14:paraId="6BAECEA6"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（五）基金管理人、基金托管人对他人泄露基金运作和管理过程中任何尚未按法律法规规定的方式公开披露的信息。</w:t>
      </w:r>
    </w:p>
    <w:p w14:paraId="2C3AAD84"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（六）基金管理人在没有充足资金的情况下向基金托管人发出投资指令和付款指令，或违规向基金托管人发出指令。</w:t>
      </w:r>
    </w:p>
    <w:p w14:paraId="621F7A7E"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（七）基金管理人、基金托管人在行政上、财务上不独立，其高级管理人员和其他从业人员相互兼职。</w:t>
      </w:r>
    </w:p>
    <w:p w14:paraId="6CAB0FEF"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（八）基金托管人私自动用或处分基金财产，根据基金管理人的合法指令、基金合同或托管协议的规定进行处分的除外。</w:t>
      </w:r>
    </w:p>
    <w:p w14:paraId="798F2DB2"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（九）基金托管人对基金管理人的正常有效指令拖延或拒绝执行。</w:t>
      </w:r>
    </w:p>
    <w:p w14:paraId="04D8F8D5"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（十）基金管理人、基金托管人侵占、挪用基金财产。</w:t>
      </w:r>
    </w:p>
    <w:p w14:paraId="12CEBDE7"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（十一）基金管理人、基金托管人泄露因职务便利获取的未公开信息、利用该信息从事或者明示、暗示他人从事相关的交易活动。</w:t>
      </w:r>
    </w:p>
    <w:p w14:paraId="2057F513"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（十二）基金管理人、基金托管人玩忽职守，不按照规定履行职责。</w:t>
      </w:r>
    </w:p>
    <w:p w14:paraId="6961AF8B"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（十三）基金管理人、基金托管人不得利用基金财产用于下列投资或者活动：</w:t>
      </w:r>
    </w:p>
    <w:p w14:paraId="639858F0"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（1）承销证券；</w:t>
      </w:r>
    </w:p>
    <w:p w14:paraId="6698C92D"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（2）违反规定向他人贷款或者提供担保；</w:t>
      </w:r>
    </w:p>
    <w:p w14:paraId="0E6AA2F6"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（3）从事承担无限责任的投资；</w:t>
      </w:r>
    </w:p>
    <w:p w14:paraId="2BFA6227"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（4）买卖其他基金份额，但是法律法规或中国证监会另有规定的除外；</w:t>
      </w:r>
    </w:p>
    <w:p w14:paraId="3F944125"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（5）向其基金管理人、基金托管人出资；</w:t>
      </w:r>
    </w:p>
    <w:p w14:paraId="3593ED27"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lastRenderedPageBreak/>
        <w:t>（6）从事内幕交易、操纵证券交易价格及其他不正当的证券交易活动；</w:t>
      </w:r>
    </w:p>
    <w:p w14:paraId="06FDBA4D"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（7）法律、行政法规和中国证监会规定禁止的其他活动。</w:t>
      </w:r>
    </w:p>
    <w:p w14:paraId="4EE0DA3D"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（十四）法律法规和基金合同禁止的其他行为，以及依照法律、行政法规有关规定，由中国证监会规定禁止基金管理人、基金托管人从事的其他行为。</w:t>
      </w:r>
    </w:p>
    <w:p w14:paraId="23212DD4" w14:textId="77777777" w:rsidR="00BC7646" w:rsidRDefault="00000000">
      <w:pPr>
        <w:pStyle w:val="2"/>
        <w:spacing w:beforeLines="100" w:before="312" w:afterLines="50" w:after="156" w:line="360" w:lineRule="auto"/>
        <w:jc w:val="center"/>
        <w:rPr>
          <w:rFonts w:ascii="Times New Roman" w:eastAsia="宋体" w:hAnsi="Times New Roman"/>
          <w:sz w:val="24"/>
          <w:szCs w:val="24"/>
        </w:rPr>
      </w:pPr>
      <w:r>
        <w:rPr>
          <w:rFonts w:ascii="Times New Roman" w:eastAsia="宋体" w:hAnsi="Times New Roman"/>
          <w:b w:val="0"/>
          <w:sz w:val="24"/>
          <w:szCs w:val="24"/>
        </w:rPr>
        <w:br w:type="page"/>
      </w:r>
      <w:bookmarkStart w:id="118" w:name="_Toc69371538"/>
      <w:bookmarkStart w:id="119" w:name="_Toc348082044"/>
      <w:r>
        <w:rPr>
          <w:rFonts w:ascii="Times New Roman" w:eastAsia="宋体" w:hAnsi="Times New Roman" w:hint="eastAsia"/>
          <w:sz w:val="24"/>
          <w:szCs w:val="24"/>
        </w:rPr>
        <w:lastRenderedPageBreak/>
        <w:t>十六、托管协议的变更、终止与基金财产的清算</w:t>
      </w:r>
      <w:bookmarkEnd w:id="118"/>
      <w:bookmarkEnd w:id="119"/>
    </w:p>
    <w:p w14:paraId="4AE7E56C" w14:textId="77777777" w:rsidR="00BC7646" w:rsidRDefault="00000000">
      <w:pPr>
        <w:spacing w:line="360" w:lineRule="auto"/>
        <w:ind w:firstLineChars="200" w:firstLine="480"/>
        <w:rPr>
          <w:rFonts w:ascii="宋体" w:hAnsi="宋体" w:cs="Arial"/>
          <w:sz w:val="24"/>
        </w:rPr>
      </w:pPr>
      <w:bookmarkStart w:id="120" w:name="_Hlk38447283"/>
      <w:r>
        <w:rPr>
          <w:rFonts w:ascii="宋体" w:hAnsi="宋体" w:cs="Arial" w:hint="eastAsia"/>
          <w:sz w:val="24"/>
        </w:rPr>
        <w:t>（一）托管协议的变更程序</w:t>
      </w:r>
    </w:p>
    <w:p w14:paraId="3D593E0C"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本协议双方当事人经协商一致，可以对协议进行修改。修改后的新协议，其内容不得与基金合同的规定有任何冲突。基金托管协议的变更应报中国证监会备案。</w:t>
      </w:r>
    </w:p>
    <w:p w14:paraId="23AE15B9"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（二）基金托管协议终止的情形</w:t>
      </w:r>
    </w:p>
    <w:p w14:paraId="688418FF"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1、《基金合同》终止；</w:t>
      </w:r>
    </w:p>
    <w:p w14:paraId="2EBFD0B8"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2、基金托管人因解散、破产、撤销等事由，不能继续担任基金托管人的职务，而在6个月内无其他适当的托管机构承接其原有权利义务；</w:t>
      </w:r>
    </w:p>
    <w:p w14:paraId="0FB6F3C5"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3、基金管理人因解散、破产、撤销等事由，不能继续担任基金管理人的职务，而在6个月内无其他适当的基金管理公司承接其原有权利义务；</w:t>
      </w:r>
    </w:p>
    <w:p w14:paraId="78B286A2"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4、发生法律法规、中国证监会或《基金合同》规定的其他终止事项。</w:t>
      </w:r>
    </w:p>
    <w:p w14:paraId="73E3EC49"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（三）基金财产的清算</w:t>
      </w:r>
    </w:p>
    <w:p w14:paraId="09EC9B0B"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基金管理人与基金托管人按照《基金合同》的约定处理基金财产的清算。</w:t>
      </w:r>
    </w:p>
    <w:bookmarkEnd w:id="120"/>
    <w:p w14:paraId="5504A579" w14:textId="77777777" w:rsidR="00BC7646" w:rsidRDefault="00BC7646">
      <w:pPr>
        <w:adjustRightInd w:val="0"/>
        <w:snapToGrid w:val="0"/>
        <w:spacing w:line="360" w:lineRule="auto"/>
        <w:rPr>
          <w:rFonts w:cs="Arial"/>
          <w:sz w:val="24"/>
        </w:rPr>
      </w:pPr>
    </w:p>
    <w:p w14:paraId="2E4D00CE" w14:textId="77777777" w:rsidR="00BC7646" w:rsidRDefault="00000000">
      <w:pPr>
        <w:pStyle w:val="2"/>
        <w:spacing w:beforeLines="100" w:before="312" w:afterLines="50" w:after="156" w:line="360" w:lineRule="auto"/>
        <w:jc w:val="center"/>
        <w:rPr>
          <w:rFonts w:ascii="Times New Roman" w:eastAsia="宋体" w:hAnsi="Times New Roman"/>
          <w:sz w:val="24"/>
          <w:szCs w:val="24"/>
        </w:rPr>
      </w:pPr>
      <w:r>
        <w:rPr>
          <w:rFonts w:ascii="Times New Roman" w:eastAsia="宋体" w:hAnsi="Times New Roman"/>
          <w:sz w:val="24"/>
          <w:szCs w:val="24"/>
        </w:rPr>
        <w:br w:type="page"/>
      </w:r>
      <w:bookmarkStart w:id="121" w:name="_Toc348082045"/>
      <w:bookmarkStart w:id="122" w:name="_Toc69371539"/>
      <w:r>
        <w:rPr>
          <w:rFonts w:ascii="Times New Roman" w:eastAsia="宋体" w:hAnsi="Times New Roman" w:hint="eastAsia"/>
          <w:sz w:val="24"/>
          <w:szCs w:val="24"/>
        </w:rPr>
        <w:lastRenderedPageBreak/>
        <w:t>十七、违约责任</w:t>
      </w:r>
      <w:bookmarkEnd w:id="121"/>
      <w:bookmarkEnd w:id="122"/>
    </w:p>
    <w:p w14:paraId="5B249D40"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（一）</w:t>
      </w:r>
      <w:r>
        <w:rPr>
          <w:rFonts w:ascii="宋体" w:hAnsi="宋体" w:cs="Arial"/>
          <w:sz w:val="24"/>
        </w:rPr>
        <w:t>基金管理人、基金托管人</w:t>
      </w:r>
      <w:r>
        <w:rPr>
          <w:rFonts w:ascii="宋体" w:hAnsi="宋体" w:cs="Arial" w:hint="eastAsia"/>
          <w:sz w:val="24"/>
        </w:rPr>
        <w:t>不</w:t>
      </w:r>
      <w:r>
        <w:rPr>
          <w:rFonts w:ascii="宋体" w:hAnsi="宋体" w:cs="Arial"/>
          <w:sz w:val="24"/>
        </w:rPr>
        <w:t>履行</w:t>
      </w:r>
      <w:r>
        <w:rPr>
          <w:rFonts w:ascii="宋体" w:hAnsi="宋体" w:cs="Arial" w:hint="eastAsia"/>
          <w:sz w:val="24"/>
        </w:rPr>
        <w:t>本协议或履行本协议不符合约定的，应当承担违约责任。</w:t>
      </w:r>
    </w:p>
    <w:p w14:paraId="26B185DB"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（二）</w:t>
      </w:r>
      <w:r>
        <w:rPr>
          <w:rFonts w:ascii="宋体" w:hAnsi="宋体" w:cs="Arial"/>
          <w:sz w:val="24"/>
        </w:rPr>
        <w:t>基金管理人、基金托管人在履行各自职责的过程中，违反</w:t>
      </w:r>
      <w:r>
        <w:rPr>
          <w:rFonts w:ascii="宋体" w:hAnsi="宋体" w:cs="Arial" w:hint="eastAsia"/>
          <w:sz w:val="24"/>
        </w:rPr>
        <w:t>《基金法》、《基金合同》和本托管协议</w:t>
      </w:r>
      <w:r>
        <w:rPr>
          <w:rFonts w:ascii="宋体" w:hAnsi="宋体" w:cs="Arial"/>
          <w:sz w:val="24"/>
        </w:rPr>
        <w:t>约定，给基金财产或者基金份额持有人造成损害的，应当分别对各自的行为依法承担赔偿责任；因共同行为给基金财产或者基金份额持有人造成损害的，应当承担连带赔偿责任，对损失的赔偿，仅限于直接损失。</w:t>
      </w:r>
    </w:p>
    <w:p w14:paraId="0368E1BA"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（三）一方当事人违约，给另一方当事人或基金财产造成损失的，应就直接损失进行赔偿，另一方当事人有权利及义务代表基金向违约方追偿。但是如发生下列情况，当事人免责：</w:t>
      </w:r>
    </w:p>
    <w:p w14:paraId="69A854C4"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1、不可抗力；</w:t>
      </w:r>
    </w:p>
    <w:p w14:paraId="79C8C5E1"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2、基金管理人和/或基金托管人按照当时有效的法律法规</w:t>
      </w:r>
      <w:r>
        <w:rPr>
          <w:rFonts w:hint="eastAsia"/>
          <w:bCs/>
          <w:sz w:val="24"/>
        </w:rPr>
        <w:t>、市场交易规则</w:t>
      </w:r>
      <w:r>
        <w:rPr>
          <w:rFonts w:ascii="宋体" w:hAnsi="宋体" w:cs="Arial" w:hint="eastAsia"/>
          <w:sz w:val="24"/>
        </w:rPr>
        <w:t>、中国证监会的规定或交易所规则作为或不作为而造成的损失等；</w:t>
      </w:r>
    </w:p>
    <w:p w14:paraId="265C5169"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3、基金管理人由于按照基金合同规定的投资原则行使或不行使其投资权而造成的损失等。</w:t>
      </w:r>
    </w:p>
    <w:p w14:paraId="3EABE89C"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（四）一方当事人违约，</w:t>
      </w:r>
      <w:r>
        <w:rPr>
          <w:rFonts w:ascii="宋体" w:hAnsi="宋体" w:cs="Arial" w:hint="eastAsia"/>
          <w:sz w:val="24"/>
          <w:lang w:val="zh-CN" w:bidi="zh-CN"/>
        </w:rPr>
        <w:t>非违约方</w:t>
      </w:r>
      <w:r>
        <w:rPr>
          <w:rFonts w:ascii="宋体" w:hAnsi="宋体" w:cs="Arial" w:hint="eastAsia"/>
          <w:sz w:val="24"/>
        </w:rPr>
        <w:t>当事人在职责范围内有义务及时采取必要的措施，尽力防止损失的扩大；没有采取适当措施致使损失扩大的，不得就扩大的损失要求赔偿。</w:t>
      </w:r>
      <w:r>
        <w:rPr>
          <w:rFonts w:ascii="宋体" w:hAnsi="宋体" w:cs="Arial" w:hint="eastAsia"/>
          <w:sz w:val="24"/>
          <w:lang w:val="zh-CN" w:bidi="zh-CN"/>
        </w:rPr>
        <w:t>非违约方因防止损</w:t>
      </w:r>
      <w:r>
        <w:rPr>
          <w:rFonts w:ascii="宋体" w:hAnsi="宋体" w:cs="Arial" w:hint="eastAsia"/>
          <w:sz w:val="24"/>
        </w:rPr>
        <w:t>失扩大而支出的合理费用由违约方承担。</w:t>
      </w:r>
    </w:p>
    <w:p w14:paraId="64077CBD"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（五）违约行为虽已发生，但本托管协议能够继续履行的，在最大限度地保护基金份额持有人利益的前提下，基金管理人和基金托管人应当继续履行本协议。</w:t>
      </w:r>
      <w:proofErr w:type="gramStart"/>
      <w:r>
        <w:rPr>
          <w:rFonts w:ascii="宋体" w:hAnsi="宋体" w:cs="Arial" w:hint="eastAsia"/>
          <w:sz w:val="24"/>
        </w:rPr>
        <w:t>若基金</w:t>
      </w:r>
      <w:proofErr w:type="gramEnd"/>
      <w:r>
        <w:rPr>
          <w:rFonts w:ascii="宋体" w:hAnsi="宋体" w:cs="Arial" w:hint="eastAsia"/>
          <w:sz w:val="24"/>
        </w:rPr>
        <w:t>管理人或基金托管人因履行本协议而被起诉，另一方应提供合理的必要支持。</w:t>
      </w:r>
    </w:p>
    <w:p w14:paraId="0E495739"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（六）由于基金管理人、基金托管人不可控制的因素导致业务出现差错，基金管理人和基金托管人虽然已经采取必要、适当、合理的措施进行检查，但是未能发现错误或</w:t>
      </w:r>
      <w:proofErr w:type="gramStart"/>
      <w:r>
        <w:rPr>
          <w:rFonts w:ascii="宋体" w:hAnsi="宋体" w:cs="Arial" w:hint="eastAsia"/>
          <w:sz w:val="24"/>
        </w:rPr>
        <w:t>虽发现</w:t>
      </w:r>
      <w:proofErr w:type="gramEnd"/>
      <w:r>
        <w:rPr>
          <w:rFonts w:ascii="宋体" w:hAnsi="宋体" w:cs="Arial" w:hint="eastAsia"/>
          <w:sz w:val="24"/>
        </w:rPr>
        <w:t>错误但因前述原因无法及时更正的，由此造成基金财产或投资人损失，基金管理人和基金托管人免除赔偿责任。但是基金管理人和基金托管人应积极采取必要的措施减轻或消除由此造成的影响。</w:t>
      </w:r>
    </w:p>
    <w:p w14:paraId="2EA3E326" w14:textId="77777777" w:rsidR="00BC7646" w:rsidRDefault="00000000">
      <w:pPr>
        <w:autoSpaceDE w:val="0"/>
        <w:autoSpaceDN w:val="0"/>
        <w:spacing w:line="360" w:lineRule="auto"/>
        <w:ind w:firstLineChars="200" w:firstLine="480"/>
        <w:jc w:val="left"/>
        <w:rPr>
          <w:rFonts w:ascii="宋体" w:hAnsi="宋体" w:cs="Arial"/>
        </w:rPr>
      </w:pPr>
      <w:r>
        <w:rPr>
          <w:rFonts w:ascii="宋体" w:hAnsi="宋体" w:cs="Arial" w:hint="eastAsia"/>
          <w:sz w:val="24"/>
          <w:lang w:bidi="ar"/>
        </w:rPr>
        <w:t>（七）本协议所指损失均为直接损失。</w:t>
      </w:r>
    </w:p>
    <w:p w14:paraId="604E008B" w14:textId="77777777" w:rsidR="00BC7646" w:rsidRDefault="00000000">
      <w:pPr>
        <w:pStyle w:val="2"/>
        <w:spacing w:beforeLines="100" w:before="312" w:afterLines="50" w:after="156" w:line="360" w:lineRule="auto"/>
        <w:jc w:val="center"/>
        <w:rPr>
          <w:rFonts w:ascii="Times New Roman" w:eastAsia="宋体" w:hAnsi="Times New Roman"/>
          <w:sz w:val="24"/>
          <w:szCs w:val="24"/>
        </w:rPr>
      </w:pPr>
      <w:bookmarkStart w:id="123" w:name="_Toc69371540"/>
      <w:bookmarkStart w:id="124" w:name="_Toc348082046"/>
      <w:r>
        <w:rPr>
          <w:rFonts w:ascii="Times New Roman" w:eastAsia="宋体" w:hAnsi="Times New Roman" w:hint="eastAsia"/>
          <w:sz w:val="24"/>
          <w:szCs w:val="24"/>
        </w:rPr>
        <w:lastRenderedPageBreak/>
        <w:t>十八、争议解决方式</w:t>
      </w:r>
      <w:bookmarkEnd w:id="123"/>
      <w:bookmarkEnd w:id="124"/>
    </w:p>
    <w:p w14:paraId="2B77C93C" w14:textId="77777777" w:rsidR="00BC7646" w:rsidRDefault="00000000">
      <w:pPr>
        <w:spacing w:line="360" w:lineRule="auto"/>
        <w:ind w:firstLineChars="200" w:firstLine="480"/>
        <w:rPr>
          <w:rFonts w:ascii="宋体" w:hAnsi="宋体" w:cs="Arial"/>
          <w:sz w:val="24"/>
        </w:rPr>
      </w:pPr>
      <w:bookmarkStart w:id="125" w:name="_Hlk38447301"/>
      <w:r>
        <w:rPr>
          <w:rFonts w:ascii="宋体" w:hAnsi="宋体" w:cs="Arial"/>
          <w:sz w:val="24"/>
        </w:rPr>
        <w:t>双方当事人同意，因</w:t>
      </w:r>
      <w:r>
        <w:rPr>
          <w:rFonts w:ascii="宋体" w:hAnsi="宋体" w:cs="Arial" w:hint="eastAsia"/>
          <w:sz w:val="24"/>
        </w:rPr>
        <w:t>本协议</w:t>
      </w:r>
      <w:r>
        <w:rPr>
          <w:rFonts w:ascii="宋体" w:hAnsi="宋体" w:cs="Arial"/>
          <w:sz w:val="24"/>
        </w:rPr>
        <w:t>而产生的或与</w:t>
      </w:r>
      <w:r>
        <w:rPr>
          <w:rFonts w:ascii="宋体" w:hAnsi="宋体" w:cs="Arial" w:hint="eastAsia"/>
          <w:sz w:val="24"/>
        </w:rPr>
        <w:t>本协议</w:t>
      </w:r>
      <w:r>
        <w:rPr>
          <w:rFonts w:ascii="宋体" w:hAnsi="宋体" w:cs="Arial"/>
          <w:sz w:val="24"/>
        </w:rPr>
        <w:t>有关的一切争议，如经</w:t>
      </w:r>
      <w:r>
        <w:rPr>
          <w:rFonts w:ascii="宋体" w:hAnsi="宋体" w:cs="Arial" w:hint="eastAsia"/>
          <w:sz w:val="24"/>
        </w:rPr>
        <w:t>友好协商未能解决的，任何一方均有权将争议提交</w:t>
      </w:r>
      <w:r>
        <w:rPr>
          <w:rFonts w:hint="eastAsia"/>
          <w:bCs/>
          <w:sz w:val="24"/>
        </w:rPr>
        <w:t>中国国际经济贸易仲裁委员会</w:t>
      </w:r>
      <w:r>
        <w:rPr>
          <w:rFonts w:ascii="宋体" w:hAnsi="宋体" w:cs="Arial" w:hint="eastAsia"/>
          <w:sz w:val="24"/>
        </w:rPr>
        <w:t>，按照</w:t>
      </w:r>
      <w:r>
        <w:rPr>
          <w:rFonts w:ascii="宋体" w:hAnsi="宋体" w:cs="Arial" w:hint="eastAsia"/>
          <w:bCs/>
          <w:sz w:val="24"/>
        </w:rPr>
        <w:t>中国国际经济贸易仲裁委员会</w:t>
      </w:r>
      <w:r>
        <w:rPr>
          <w:rFonts w:ascii="宋体" w:hAnsi="宋体" w:cs="Arial" w:hint="eastAsia"/>
          <w:sz w:val="24"/>
        </w:rPr>
        <w:t>届时有效的仲裁规则进行仲裁，仲裁地点为北京市。仲裁裁决是终局性的并对</w:t>
      </w:r>
      <w:r>
        <w:rPr>
          <w:rFonts w:ascii="宋体" w:hAnsi="宋体" w:cs="Arial"/>
          <w:sz w:val="24"/>
        </w:rPr>
        <w:t>双</w:t>
      </w:r>
      <w:r>
        <w:rPr>
          <w:rFonts w:ascii="宋体" w:hAnsi="宋体" w:cs="Arial" w:hint="eastAsia"/>
          <w:sz w:val="24"/>
        </w:rPr>
        <w:t>方当事人均具有约束力。除非仲裁裁决另有规定，仲裁费由败诉方承担。</w:t>
      </w:r>
    </w:p>
    <w:p w14:paraId="2D6FDC7D"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争议处理期间，双方当事人应恪守各自的职责，继续忠实、勤勉、尽责地履行《基金合同》和本协议规定的义务，维护基金份额持有人的合法权益。</w:t>
      </w:r>
    </w:p>
    <w:p w14:paraId="376A6B25"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本协议</w:t>
      </w:r>
      <w:r>
        <w:rPr>
          <w:rFonts w:ascii="宋体" w:hAnsi="宋体" w:cs="Arial"/>
          <w:sz w:val="24"/>
        </w:rPr>
        <w:t>受中国法律</w:t>
      </w:r>
      <w:r>
        <w:rPr>
          <w:rFonts w:ascii="宋体" w:hAnsi="宋体" w:cs="Arial" w:hint="eastAsia"/>
          <w:sz w:val="24"/>
        </w:rPr>
        <w:t>（为本托管协议之目的，不含港澳台地区法律）</w:t>
      </w:r>
      <w:r>
        <w:rPr>
          <w:rFonts w:ascii="宋体" w:hAnsi="宋体" w:cs="Arial"/>
          <w:sz w:val="24"/>
        </w:rPr>
        <w:t>管辖。</w:t>
      </w:r>
    </w:p>
    <w:bookmarkEnd w:id="125"/>
    <w:p w14:paraId="089D4C14" w14:textId="77777777" w:rsidR="00BC7646" w:rsidRDefault="00BC7646">
      <w:pPr>
        <w:adjustRightInd w:val="0"/>
        <w:snapToGrid w:val="0"/>
        <w:spacing w:line="360" w:lineRule="auto"/>
        <w:ind w:firstLineChars="200" w:firstLine="480"/>
        <w:rPr>
          <w:rFonts w:cs="Arial"/>
          <w:sz w:val="24"/>
        </w:rPr>
      </w:pPr>
    </w:p>
    <w:p w14:paraId="157C4262" w14:textId="77777777" w:rsidR="00BC7646" w:rsidRDefault="00BC7646">
      <w:pPr>
        <w:adjustRightInd w:val="0"/>
        <w:snapToGrid w:val="0"/>
        <w:spacing w:line="360" w:lineRule="auto"/>
        <w:rPr>
          <w:rFonts w:cs="Arial"/>
          <w:sz w:val="24"/>
        </w:rPr>
      </w:pPr>
    </w:p>
    <w:p w14:paraId="5B0B5608" w14:textId="77777777" w:rsidR="00BC7646" w:rsidRDefault="00000000">
      <w:pPr>
        <w:pStyle w:val="2"/>
        <w:spacing w:beforeLines="100" w:before="312" w:afterLines="50" w:after="156" w:line="360" w:lineRule="auto"/>
        <w:jc w:val="center"/>
        <w:rPr>
          <w:rFonts w:ascii="Times New Roman" w:eastAsia="宋体" w:hAnsi="Times New Roman"/>
          <w:sz w:val="24"/>
          <w:szCs w:val="24"/>
        </w:rPr>
      </w:pPr>
      <w:r>
        <w:rPr>
          <w:rFonts w:ascii="Times New Roman" w:eastAsia="宋体" w:hAnsi="Times New Roman"/>
          <w:sz w:val="24"/>
          <w:szCs w:val="24"/>
        </w:rPr>
        <w:br w:type="page"/>
      </w:r>
      <w:bookmarkStart w:id="126" w:name="_Toc69371541"/>
      <w:bookmarkStart w:id="127" w:name="_Toc348082047"/>
      <w:r>
        <w:rPr>
          <w:rFonts w:ascii="Times New Roman" w:eastAsia="宋体" w:hAnsi="Times New Roman" w:hint="eastAsia"/>
          <w:sz w:val="24"/>
          <w:szCs w:val="24"/>
        </w:rPr>
        <w:lastRenderedPageBreak/>
        <w:t>十九、托管协议的效力</w:t>
      </w:r>
      <w:bookmarkEnd w:id="126"/>
      <w:bookmarkEnd w:id="127"/>
    </w:p>
    <w:p w14:paraId="5CF06618"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双方对托管协议的效力约定如下：</w:t>
      </w:r>
    </w:p>
    <w:p w14:paraId="0D8983DC"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一）基金管理人在向中国证监会申请基金募集注册时提交的托管协议草案，应经托管协议当事人双方盖章以及双方法定代表人或授权代表签字或盖章，协议当事人双方根据中国证监会的意见修改并正式签署托管协议。托管协议以中国证监会注册的文本为正式文本。</w:t>
      </w:r>
    </w:p>
    <w:p w14:paraId="6F9439EE"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（二）托管协议自基金合同成立之日起成立，自基金合同生效之日起生效。托管协议的有效期自其生效之日起至基金财产清算结果报中国证监会备案并公告之日止。</w:t>
      </w:r>
    </w:p>
    <w:p w14:paraId="247F4358"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（三）托管协议自生效之日起对托管协议当事人具有同等的法律约束力。</w:t>
      </w:r>
    </w:p>
    <w:p w14:paraId="41473F64"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（四）本协议一式三份，协议双方各持一份，上报监管机构一份，每份具有同等法律效力。</w:t>
      </w:r>
    </w:p>
    <w:p w14:paraId="6557B08C" w14:textId="77777777" w:rsidR="00BC7646" w:rsidRDefault="00BC7646">
      <w:pPr>
        <w:adjustRightInd w:val="0"/>
        <w:snapToGrid w:val="0"/>
        <w:spacing w:line="360" w:lineRule="auto"/>
        <w:rPr>
          <w:rFonts w:cs="Arial"/>
          <w:sz w:val="24"/>
        </w:rPr>
      </w:pPr>
    </w:p>
    <w:p w14:paraId="701CE72A" w14:textId="77777777" w:rsidR="00BC7646" w:rsidRDefault="00000000">
      <w:pPr>
        <w:pStyle w:val="2"/>
        <w:spacing w:beforeLines="100" w:before="312" w:afterLines="50" w:after="156" w:line="360" w:lineRule="auto"/>
        <w:jc w:val="center"/>
        <w:rPr>
          <w:rFonts w:ascii="Times New Roman" w:eastAsia="宋体" w:hAnsi="Times New Roman"/>
          <w:sz w:val="24"/>
          <w:szCs w:val="24"/>
        </w:rPr>
      </w:pPr>
      <w:r>
        <w:rPr>
          <w:rFonts w:ascii="Times New Roman" w:eastAsia="宋体" w:hAnsi="Times New Roman"/>
          <w:sz w:val="24"/>
          <w:szCs w:val="24"/>
        </w:rPr>
        <w:br w:type="page"/>
      </w:r>
      <w:bookmarkStart w:id="128" w:name="_Toc348082048"/>
      <w:bookmarkStart w:id="129" w:name="_Toc69371542"/>
      <w:r>
        <w:rPr>
          <w:rFonts w:ascii="Times New Roman" w:eastAsia="宋体" w:hAnsi="Times New Roman" w:hint="eastAsia"/>
          <w:sz w:val="24"/>
          <w:szCs w:val="24"/>
        </w:rPr>
        <w:lastRenderedPageBreak/>
        <w:t>二十、其他事项</w:t>
      </w:r>
      <w:bookmarkEnd w:id="128"/>
      <w:bookmarkEnd w:id="129"/>
    </w:p>
    <w:p w14:paraId="1FDD1D36"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如发生有权司法机关依法冻结基金份额持有人的基金份额时，基金管理人、基金托管人应予以配合，承担司法协助义务。</w:t>
      </w:r>
    </w:p>
    <w:p w14:paraId="00B66A47"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除本协议有明确定义外，本协议的用语定义适用基金合同的约定。本协议未尽事宜，当事人依据基金合同、有关法律法规等规定协商办理。</w:t>
      </w:r>
    </w:p>
    <w:p w14:paraId="7117C81C" w14:textId="77777777" w:rsidR="00BC7646" w:rsidRDefault="00000000">
      <w:pPr>
        <w:spacing w:line="360" w:lineRule="auto"/>
        <w:ind w:firstLineChars="200" w:firstLine="480"/>
        <w:rPr>
          <w:rFonts w:ascii="宋体" w:hAnsi="宋体" w:cs="Arial"/>
          <w:sz w:val="24"/>
        </w:rPr>
      </w:pPr>
      <w:r>
        <w:rPr>
          <w:rFonts w:ascii="宋体" w:hAnsi="宋体" w:cs="Arial" w:hint="eastAsia"/>
          <w:sz w:val="24"/>
        </w:rPr>
        <w:t>本协议附件构成本协议不可分割的组成部分。</w:t>
      </w:r>
    </w:p>
    <w:p w14:paraId="3864BB5B" w14:textId="77777777" w:rsidR="00BC7646" w:rsidRDefault="00000000">
      <w:pPr>
        <w:adjustRightInd w:val="0"/>
        <w:snapToGrid w:val="0"/>
        <w:spacing w:line="360" w:lineRule="auto"/>
        <w:rPr>
          <w:sz w:val="24"/>
        </w:rPr>
      </w:pPr>
      <w:r>
        <w:rPr>
          <w:sz w:val="24"/>
        </w:rPr>
        <w:br w:type="page"/>
      </w:r>
      <w:bookmarkStart w:id="130" w:name="_Toc348082049"/>
    </w:p>
    <w:p w14:paraId="0B7467B5" w14:textId="08EA767B" w:rsidR="00BC7646" w:rsidRDefault="00000000">
      <w:pPr>
        <w:adjustRightInd w:val="0"/>
        <w:snapToGrid w:val="0"/>
        <w:spacing w:line="360" w:lineRule="auto"/>
        <w:rPr>
          <w:sz w:val="24"/>
        </w:rPr>
      </w:pPr>
      <w:r>
        <w:rPr>
          <w:rFonts w:cs="Arial" w:hint="eastAsia"/>
          <w:sz w:val="24"/>
        </w:rPr>
        <w:lastRenderedPageBreak/>
        <w:t>本页无正文</w:t>
      </w:r>
      <w:r>
        <w:rPr>
          <w:rFonts w:cs="Arial"/>
          <w:sz w:val="24"/>
        </w:rPr>
        <w:t>，为《</w:t>
      </w:r>
      <w:r>
        <w:rPr>
          <w:rFonts w:cs="Arial" w:hint="eastAsia"/>
          <w:sz w:val="24"/>
        </w:rPr>
        <w:t>兴华安聚纯债债券型证券投资基金托管协议</w:t>
      </w:r>
      <w:r>
        <w:rPr>
          <w:rFonts w:cs="Arial"/>
          <w:sz w:val="24"/>
        </w:rPr>
        <w:t>》</w:t>
      </w:r>
      <w:r>
        <w:rPr>
          <w:rFonts w:cs="Arial" w:hint="eastAsia"/>
          <w:sz w:val="24"/>
        </w:rPr>
        <w:t>签字页</w:t>
      </w:r>
      <w:bookmarkEnd w:id="130"/>
    </w:p>
    <w:p w14:paraId="0BBB2F79" w14:textId="77777777" w:rsidR="00BC7646" w:rsidRDefault="00000000">
      <w:pPr>
        <w:adjustRightInd w:val="0"/>
        <w:snapToGrid w:val="0"/>
        <w:spacing w:line="360" w:lineRule="auto"/>
        <w:ind w:firstLineChars="200" w:firstLine="480"/>
        <w:rPr>
          <w:rFonts w:cs="Arial"/>
          <w:sz w:val="24"/>
        </w:rPr>
      </w:pPr>
      <w:r>
        <w:rPr>
          <w:rFonts w:cs="Arial" w:hint="eastAsia"/>
          <w:sz w:val="24"/>
        </w:rPr>
        <w:t>本协议双方法定代表人或授权代表签章、签订地、签订日</w:t>
      </w:r>
    </w:p>
    <w:p w14:paraId="2718E896" w14:textId="77777777" w:rsidR="00BC7646" w:rsidRDefault="00BC7646">
      <w:pPr>
        <w:adjustRightInd w:val="0"/>
        <w:snapToGrid w:val="0"/>
        <w:spacing w:line="360" w:lineRule="auto"/>
        <w:ind w:firstLineChars="200" w:firstLine="480"/>
        <w:rPr>
          <w:rFonts w:cs="Arial"/>
          <w:sz w:val="24"/>
        </w:rPr>
      </w:pPr>
    </w:p>
    <w:p w14:paraId="019F7BBE" w14:textId="77777777" w:rsidR="00BC7646" w:rsidRDefault="00BC7646">
      <w:pPr>
        <w:adjustRightInd w:val="0"/>
        <w:snapToGrid w:val="0"/>
        <w:spacing w:line="360" w:lineRule="auto"/>
        <w:ind w:firstLineChars="200" w:firstLine="480"/>
        <w:rPr>
          <w:rFonts w:cs="Arial"/>
          <w:sz w:val="24"/>
        </w:rPr>
      </w:pPr>
    </w:p>
    <w:p w14:paraId="5E5AD2CE" w14:textId="77777777" w:rsidR="00BC7646" w:rsidRDefault="00BC7646">
      <w:pPr>
        <w:adjustRightInd w:val="0"/>
        <w:snapToGrid w:val="0"/>
        <w:spacing w:line="360" w:lineRule="auto"/>
        <w:ind w:firstLineChars="200" w:firstLine="480"/>
        <w:rPr>
          <w:rFonts w:cs="Arial"/>
          <w:sz w:val="24"/>
        </w:rPr>
      </w:pPr>
    </w:p>
    <w:p w14:paraId="5D561E2C" w14:textId="77777777" w:rsidR="00BC7646" w:rsidRDefault="00BC7646">
      <w:pPr>
        <w:adjustRightInd w:val="0"/>
        <w:snapToGrid w:val="0"/>
        <w:spacing w:line="360" w:lineRule="auto"/>
        <w:ind w:firstLineChars="200" w:firstLine="480"/>
        <w:rPr>
          <w:rFonts w:cs="Arial"/>
          <w:sz w:val="24"/>
        </w:rPr>
      </w:pPr>
    </w:p>
    <w:p w14:paraId="4BD07485" w14:textId="77777777" w:rsidR="00BC7646" w:rsidRDefault="00000000">
      <w:pPr>
        <w:adjustRightInd w:val="0"/>
        <w:snapToGrid w:val="0"/>
        <w:spacing w:line="360" w:lineRule="auto"/>
        <w:ind w:firstLineChars="200" w:firstLine="482"/>
        <w:rPr>
          <w:rFonts w:cs="Arial"/>
          <w:b/>
          <w:sz w:val="24"/>
        </w:rPr>
      </w:pPr>
      <w:r>
        <w:rPr>
          <w:rFonts w:cs="Arial" w:hint="eastAsia"/>
          <w:b/>
          <w:sz w:val="24"/>
        </w:rPr>
        <w:t>基金</w:t>
      </w:r>
      <w:r>
        <w:rPr>
          <w:rFonts w:cs="Arial"/>
          <w:b/>
          <w:sz w:val="24"/>
        </w:rPr>
        <w:t>管理人：</w:t>
      </w:r>
      <w:r>
        <w:rPr>
          <w:rFonts w:cs="Arial" w:hint="eastAsia"/>
          <w:b/>
          <w:sz w:val="24"/>
        </w:rPr>
        <w:t>兴华基金管理有限公司（章）</w:t>
      </w:r>
    </w:p>
    <w:p w14:paraId="1712F9CC" w14:textId="77777777" w:rsidR="00BC7646" w:rsidRDefault="00BC7646">
      <w:pPr>
        <w:adjustRightInd w:val="0"/>
        <w:snapToGrid w:val="0"/>
        <w:spacing w:line="360" w:lineRule="auto"/>
        <w:ind w:firstLineChars="200" w:firstLine="482"/>
        <w:rPr>
          <w:rFonts w:cs="Arial"/>
          <w:b/>
          <w:sz w:val="24"/>
        </w:rPr>
      </w:pPr>
    </w:p>
    <w:p w14:paraId="4E05B4AA" w14:textId="77777777" w:rsidR="00BC7646" w:rsidRDefault="00BC7646">
      <w:pPr>
        <w:adjustRightInd w:val="0"/>
        <w:snapToGrid w:val="0"/>
        <w:spacing w:line="360" w:lineRule="auto"/>
        <w:ind w:firstLineChars="200" w:firstLine="482"/>
        <w:rPr>
          <w:rFonts w:cs="Arial"/>
          <w:b/>
          <w:sz w:val="24"/>
        </w:rPr>
      </w:pPr>
    </w:p>
    <w:p w14:paraId="4BF0C861" w14:textId="77777777" w:rsidR="00BC7646" w:rsidRDefault="00000000">
      <w:pPr>
        <w:adjustRightInd w:val="0"/>
        <w:snapToGrid w:val="0"/>
        <w:spacing w:line="360" w:lineRule="auto"/>
        <w:ind w:firstLineChars="200" w:firstLine="482"/>
        <w:rPr>
          <w:rFonts w:cs="Arial"/>
          <w:b/>
          <w:sz w:val="24"/>
        </w:rPr>
      </w:pPr>
      <w:r>
        <w:rPr>
          <w:rFonts w:cs="Arial" w:hint="eastAsia"/>
          <w:b/>
          <w:sz w:val="24"/>
        </w:rPr>
        <w:t>法定</w:t>
      </w:r>
      <w:r>
        <w:rPr>
          <w:rFonts w:cs="Arial"/>
          <w:b/>
          <w:sz w:val="24"/>
        </w:rPr>
        <w:t>代表人或授权代表：</w:t>
      </w:r>
      <w:r>
        <w:rPr>
          <w:rFonts w:cs="Arial" w:hint="eastAsia"/>
          <w:b/>
          <w:sz w:val="24"/>
        </w:rPr>
        <w:t>（签字或盖章）</w:t>
      </w:r>
    </w:p>
    <w:p w14:paraId="6F441D48" w14:textId="77777777" w:rsidR="00BC7646" w:rsidRDefault="00BC7646">
      <w:pPr>
        <w:adjustRightInd w:val="0"/>
        <w:snapToGrid w:val="0"/>
        <w:spacing w:line="360" w:lineRule="auto"/>
        <w:ind w:firstLineChars="200" w:firstLine="482"/>
        <w:rPr>
          <w:rFonts w:cs="Arial"/>
          <w:b/>
          <w:sz w:val="24"/>
        </w:rPr>
      </w:pPr>
    </w:p>
    <w:p w14:paraId="23245083" w14:textId="77777777" w:rsidR="00BC7646" w:rsidRDefault="00BC7646">
      <w:pPr>
        <w:adjustRightInd w:val="0"/>
        <w:snapToGrid w:val="0"/>
        <w:spacing w:line="360" w:lineRule="auto"/>
        <w:ind w:firstLineChars="200" w:firstLine="482"/>
        <w:rPr>
          <w:rFonts w:cs="Arial"/>
          <w:b/>
          <w:sz w:val="24"/>
        </w:rPr>
      </w:pPr>
    </w:p>
    <w:p w14:paraId="43318715" w14:textId="77777777" w:rsidR="00BC7646" w:rsidRDefault="00000000">
      <w:pPr>
        <w:adjustRightInd w:val="0"/>
        <w:snapToGrid w:val="0"/>
        <w:spacing w:line="360" w:lineRule="auto"/>
        <w:ind w:firstLineChars="200" w:firstLine="482"/>
        <w:rPr>
          <w:rFonts w:cs="Arial"/>
          <w:b/>
          <w:sz w:val="24"/>
        </w:rPr>
      </w:pPr>
      <w:r>
        <w:rPr>
          <w:rFonts w:cs="Arial" w:hint="eastAsia"/>
          <w:b/>
          <w:sz w:val="24"/>
        </w:rPr>
        <w:t>签订地点</w:t>
      </w:r>
      <w:r>
        <w:rPr>
          <w:rFonts w:cs="Arial"/>
          <w:b/>
          <w:sz w:val="24"/>
        </w:rPr>
        <w:t>：</w:t>
      </w:r>
      <w:r>
        <w:rPr>
          <w:rFonts w:cs="Arial" w:hint="eastAsia"/>
          <w:b/>
          <w:sz w:val="24"/>
        </w:rPr>
        <w:t>青岛</w:t>
      </w:r>
    </w:p>
    <w:p w14:paraId="5E181422" w14:textId="77777777" w:rsidR="00BC7646" w:rsidRDefault="00000000">
      <w:pPr>
        <w:adjustRightInd w:val="0"/>
        <w:snapToGrid w:val="0"/>
        <w:spacing w:line="360" w:lineRule="auto"/>
        <w:ind w:firstLineChars="200" w:firstLine="482"/>
        <w:rPr>
          <w:rFonts w:cs="Arial"/>
          <w:b/>
          <w:sz w:val="24"/>
        </w:rPr>
      </w:pPr>
      <w:r>
        <w:rPr>
          <w:rFonts w:cs="Arial" w:hint="eastAsia"/>
          <w:b/>
          <w:sz w:val="24"/>
        </w:rPr>
        <w:t>签订日</w:t>
      </w:r>
      <w:r>
        <w:rPr>
          <w:rFonts w:cs="Arial"/>
          <w:b/>
          <w:sz w:val="24"/>
        </w:rPr>
        <w:t>：</w:t>
      </w:r>
      <w:r>
        <w:rPr>
          <w:rFonts w:cs="Arial" w:hint="eastAsia"/>
          <w:b/>
          <w:sz w:val="24"/>
        </w:rPr>
        <w:t xml:space="preserve">      </w:t>
      </w:r>
      <w:r>
        <w:rPr>
          <w:rFonts w:cs="Arial" w:hint="eastAsia"/>
          <w:b/>
          <w:sz w:val="24"/>
        </w:rPr>
        <w:t>年</w:t>
      </w:r>
      <w:r>
        <w:rPr>
          <w:rFonts w:cs="Arial" w:hint="eastAsia"/>
          <w:b/>
          <w:sz w:val="24"/>
        </w:rPr>
        <w:t xml:space="preserve">     </w:t>
      </w:r>
      <w:r>
        <w:rPr>
          <w:rFonts w:cs="Arial" w:hint="eastAsia"/>
          <w:b/>
          <w:sz w:val="24"/>
        </w:rPr>
        <w:t>月</w:t>
      </w:r>
      <w:r>
        <w:rPr>
          <w:rFonts w:cs="Arial" w:hint="eastAsia"/>
          <w:b/>
          <w:sz w:val="24"/>
        </w:rPr>
        <w:t xml:space="preserve">    </w:t>
      </w:r>
      <w:r>
        <w:rPr>
          <w:rFonts w:cs="Arial" w:hint="eastAsia"/>
          <w:b/>
          <w:sz w:val="24"/>
        </w:rPr>
        <w:t>日</w:t>
      </w:r>
    </w:p>
    <w:p w14:paraId="5CC93E95" w14:textId="77777777" w:rsidR="00BC7646" w:rsidRDefault="00BC7646">
      <w:pPr>
        <w:adjustRightInd w:val="0"/>
        <w:snapToGrid w:val="0"/>
        <w:spacing w:line="360" w:lineRule="auto"/>
        <w:ind w:firstLineChars="200" w:firstLine="482"/>
        <w:rPr>
          <w:rFonts w:cs="Arial"/>
          <w:b/>
          <w:sz w:val="24"/>
        </w:rPr>
      </w:pPr>
    </w:p>
    <w:p w14:paraId="2F72B8FD" w14:textId="77777777" w:rsidR="00BC7646" w:rsidRDefault="00BC7646">
      <w:pPr>
        <w:adjustRightInd w:val="0"/>
        <w:snapToGrid w:val="0"/>
        <w:spacing w:line="360" w:lineRule="auto"/>
        <w:ind w:firstLineChars="200" w:firstLine="482"/>
        <w:rPr>
          <w:rFonts w:cs="Arial"/>
          <w:b/>
          <w:sz w:val="24"/>
        </w:rPr>
      </w:pPr>
    </w:p>
    <w:p w14:paraId="5F2F9A19" w14:textId="77777777" w:rsidR="00BC7646" w:rsidRDefault="00BC7646">
      <w:pPr>
        <w:adjustRightInd w:val="0"/>
        <w:snapToGrid w:val="0"/>
        <w:spacing w:line="360" w:lineRule="auto"/>
        <w:ind w:firstLineChars="200" w:firstLine="482"/>
        <w:rPr>
          <w:rFonts w:cs="Arial"/>
          <w:b/>
          <w:sz w:val="24"/>
        </w:rPr>
      </w:pPr>
    </w:p>
    <w:p w14:paraId="4037A944" w14:textId="77777777" w:rsidR="00BC7646" w:rsidRDefault="00000000">
      <w:pPr>
        <w:adjustRightInd w:val="0"/>
        <w:snapToGrid w:val="0"/>
        <w:spacing w:line="360" w:lineRule="auto"/>
        <w:ind w:firstLineChars="200" w:firstLine="482"/>
        <w:rPr>
          <w:rFonts w:cs="Arial"/>
          <w:b/>
          <w:sz w:val="24"/>
        </w:rPr>
      </w:pPr>
      <w:r>
        <w:rPr>
          <w:rFonts w:cs="Arial" w:hint="eastAsia"/>
          <w:b/>
          <w:sz w:val="24"/>
        </w:rPr>
        <w:t>基金托管人：</w:t>
      </w:r>
      <w:r>
        <w:rPr>
          <w:rFonts w:hint="eastAsia"/>
          <w:b/>
          <w:sz w:val="24"/>
        </w:rPr>
        <w:t>恒丰银行股份有限公司</w:t>
      </w:r>
      <w:r>
        <w:rPr>
          <w:rFonts w:cs="Arial" w:hint="eastAsia"/>
          <w:b/>
          <w:sz w:val="24"/>
        </w:rPr>
        <w:t>（章）</w:t>
      </w:r>
    </w:p>
    <w:p w14:paraId="32657D08" w14:textId="77777777" w:rsidR="00BC7646" w:rsidRDefault="00BC7646">
      <w:pPr>
        <w:adjustRightInd w:val="0"/>
        <w:snapToGrid w:val="0"/>
        <w:spacing w:line="360" w:lineRule="auto"/>
        <w:ind w:firstLineChars="200" w:firstLine="482"/>
        <w:rPr>
          <w:rFonts w:cs="Arial"/>
          <w:b/>
          <w:sz w:val="24"/>
        </w:rPr>
      </w:pPr>
    </w:p>
    <w:p w14:paraId="7A7A61E3" w14:textId="77777777" w:rsidR="00BC7646" w:rsidRDefault="00BC7646">
      <w:pPr>
        <w:adjustRightInd w:val="0"/>
        <w:snapToGrid w:val="0"/>
        <w:spacing w:line="360" w:lineRule="auto"/>
        <w:ind w:firstLineChars="200" w:firstLine="482"/>
        <w:rPr>
          <w:rFonts w:cs="Arial"/>
          <w:b/>
          <w:sz w:val="24"/>
        </w:rPr>
      </w:pPr>
    </w:p>
    <w:p w14:paraId="440A3454" w14:textId="77777777" w:rsidR="00BC7646" w:rsidRDefault="00000000">
      <w:pPr>
        <w:adjustRightInd w:val="0"/>
        <w:snapToGrid w:val="0"/>
        <w:spacing w:line="360" w:lineRule="auto"/>
        <w:ind w:firstLineChars="200" w:firstLine="482"/>
        <w:rPr>
          <w:rFonts w:cs="Arial"/>
          <w:b/>
          <w:sz w:val="24"/>
        </w:rPr>
      </w:pPr>
      <w:r>
        <w:rPr>
          <w:rFonts w:cs="Arial" w:hint="eastAsia"/>
          <w:b/>
          <w:sz w:val="24"/>
        </w:rPr>
        <w:t>法定代表人或授权代表：（签字或盖章）</w:t>
      </w:r>
    </w:p>
    <w:p w14:paraId="568665E3" w14:textId="77777777" w:rsidR="00BC7646" w:rsidRDefault="00BC7646">
      <w:pPr>
        <w:adjustRightInd w:val="0"/>
        <w:snapToGrid w:val="0"/>
        <w:spacing w:line="360" w:lineRule="auto"/>
        <w:ind w:firstLineChars="200" w:firstLine="482"/>
        <w:rPr>
          <w:rFonts w:cs="Arial"/>
          <w:b/>
          <w:sz w:val="24"/>
        </w:rPr>
      </w:pPr>
    </w:p>
    <w:p w14:paraId="7CFF9A77" w14:textId="77777777" w:rsidR="00BC7646" w:rsidRDefault="00BC7646">
      <w:pPr>
        <w:adjustRightInd w:val="0"/>
        <w:snapToGrid w:val="0"/>
        <w:spacing w:line="360" w:lineRule="auto"/>
        <w:ind w:firstLineChars="200" w:firstLine="482"/>
        <w:rPr>
          <w:rFonts w:cs="Arial"/>
          <w:b/>
          <w:sz w:val="24"/>
        </w:rPr>
      </w:pPr>
    </w:p>
    <w:p w14:paraId="74D5C1BC" w14:textId="77777777" w:rsidR="00BC7646" w:rsidRDefault="00BC7646">
      <w:pPr>
        <w:adjustRightInd w:val="0"/>
        <w:snapToGrid w:val="0"/>
        <w:spacing w:line="360" w:lineRule="auto"/>
        <w:ind w:firstLineChars="200" w:firstLine="482"/>
        <w:rPr>
          <w:rFonts w:cs="Arial"/>
          <w:b/>
          <w:sz w:val="24"/>
        </w:rPr>
      </w:pPr>
    </w:p>
    <w:p w14:paraId="477648E6" w14:textId="77777777" w:rsidR="00BC7646" w:rsidRDefault="00000000">
      <w:pPr>
        <w:adjustRightInd w:val="0"/>
        <w:snapToGrid w:val="0"/>
        <w:spacing w:line="360" w:lineRule="auto"/>
        <w:ind w:firstLineChars="200" w:firstLine="482"/>
        <w:rPr>
          <w:rFonts w:cs="Arial"/>
          <w:b/>
          <w:sz w:val="24"/>
        </w:rPr>
      </w:pPr>
      <w:r>
        <w:rPr>
          <w:rFonts w:cs="Arial" w:hint="eastAsia"/>
          <w:b/>
          <w:sz w:val="24"/>
        </w:rPr>
        <w:t>签订地点</w:t>
      </w:r>
      <w:r>
        <w:rPr>
          <w:rFonts w:cs="Arial"/>
          <w:b/>
          <w:sz w:val="24"/>
        </w:rPr>
        <w:t>：</w:t>
      </w:r>
      <w:r>
        <w:rPr>
          <w:rFonts w:cs="Arial" w:hint="eastAsia"/>
          <w:b/>
          <w:sz w:val="24"/>
        </w:rPr>
        <w:t>上海</w:t>
      </w:r>
    </w:p>
    <w:p w14:paraId="1FD78649" w14:textId="77777777" w:rsidR="00BC7646" w:rsidRDefault="00000000">
      <w:pPr>
        <w:adjustRightInd w:val="0"/>
        <w:snapToGrid w:val="0"/>
        <w:spacing w:line="360" w:lineRule="auto"/>
        <w:ind w:firstLineChars="200" w:firstLine="482"/>
        <w:rPr>
          <w:rFonts w:cs="Arial"/>
          <w:b/>
          <w:sz w:val="24"/>
        </w:rPr>
      </w:pPr>
      <w:r>
        <w:rPr>
          <w:rFonts w:cs="Arial" w:hint="eastAsia"/>
          <w:b/>
          <w:sz w:val="24"/>
        </w:rPr>
        <w:t>签订日</w:t>
      </w:r>
      <w:r>
        <w:rPr>
          <w:rFonts w:cs="Arial"/>
          <w:b/>
          <w:sz w:val="24"/>
        </w:rPr>
        <w:t>：</w:t>
      </w:r>
      <w:r>
        <w:rPr>
          <w:rFonts w:cs="Arial" w:hint="eastAsia"/>
          <w:b/>
          <w:sz w:val="24"/>
        </w:rPr>
        <w:t xml:space="preserve">      </w:t>
      </w:r>
      <w:r>
        <w:rPr>
          <w:rFonts w:cs="Arial" w:hint="eastAsia"/>
          <w:b/>
          <w:sz w:val="24"/>
        </w:rPr>
        <w:t>年</w:t>
      </w:r>
      <w:r>
        <w:rPr>
          <w:rFonts w:cs="Arial" w:hint="eastAsia"/>
          <w:b/>
          <w:sz w:val="24"/>
        </w:rPr>
        <w:t xml:space="preserve">     </w:t>
      </w:r>
      <w:r>
        <w:rPr>
          <w:rFonts w:cs="Arial" w:hint="eastAsia"/>
          <w:b/>
          <w:sz w:val="24"/>
        </w:rPr>
        <w:t>月</w:t>
      </w:r>
      <w:r>
        <w:rPr>
          <w:rFonts w:cs="Arial" w:hint="eastAsia"/>
          <w:b/>
          <w:sz w:val="24"/>
        </w:rPr>
        <w:t xml:space="preserve">    </w:t>
      </w:r>
      <w:r>
        <w:rPr>
          <w:rFonts w:cs="Arial" w:hint="eastAsia"/>
          <w:b/>
          <w:sz w:val="24"/>
        </w:rPr>
        <w:t>日</w:t>
      </w:r>
      <w:bookmarkEnd w:id="2"/>
    </w:p>
    <w:sectPr w:rsidR="00BC7646">
      <w:headerReference w:type="default"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9280A" w14:textId="77777777" w:rsidR="001336D6" w:rsidRDefault="001336D6">
      <w:r>
        <w:separator/>
      </w:r>
    </w:p>
  </w:endnote>
  <w:endnote w:type="continuationSeparator" w:id="0">
    <w:p w14:paraId="38063367" w14:textId="77777777" w:rsidR="001336D6" w:rsidRDefault="00133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仿宋简体">
    <w:altName w:val="微软雅黑"/>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楷体_GB2312">
    <w:altName w:val="微软雅黑"/>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97922" w14:textId="77777777" w:rsidR="00BC7646" w:rsidRDefault="00000000">
    <w:pPr>
      <w:pStyle w:val="ae"/>
      <w:framePr w:wrap="around" w:vAnchor="text" w:hAnchor="margin" w:xAlign="center" w:y="1"/>
      <w:rPr>
        <w:rStyle w:val="af6"/>
      </w:rPr>
    </w:pPr>
    <w:r>
      <w:fldChar w:fldCharType="begin"/>
    </w:r>
    <w:r>
      <w:rPr>
        <w:rStyle w:val="af6"/>
      </w:rPr>
      <w:instrText xml:space="preserve">PAGE  </w:instrText>
    </w:r>
    <w:r>
      <w:fldChar w:fldCharType="end"/>
    </w:r>
  </w:p>
  <w:p w14:paraId="7768D43B" w14:textId="77777777" w:rsidR="00BC7646" w:rsidRDefault="00BC7646">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F563D" w14:textId="77777777" w:rsidR="00BC7646" w:rsidRDefault="00000000">
    <w:pPr>
      <w:pStyle w:val="ae"/>
      <w:jc w:val="center"/>
    </w:pPr>
    <w:r>
      <w:fldChar w:fldCharType="begin"/>
    </w:r>
    <w:r>
      <w:instrText xml:space="preserve"> PAGE   \* MERGEFORMAT </w:instrText>
    </w:r>
    <w:r>
      <w:fldChar w:fldCharType="separate"/>
    </w:r>
    <w:r>
      <w:rPr>
        <w:lang w:val="zh-CN"/>
      </w:rPr>
      <w:t>20</w:t>
    </w:r>
    <w:r>
      <w:rPr>
        <w:lang w:val="zh-CN"/>
      </w:rPr>
      <w:fldChar w:fldCharType="end"/>
    </w:r>
  </w:p>
  <w:p w14:paraId="7DCC35B4" w14:textId="77777777" w:rsidR="00BC7646" w:rsidRDefault="00BC764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DCABB" w14:textId="77777777" w:rsidR="001336D6" w:rsidRDefault="001336D6">
      <w:r>
        <w:separator/>
      </w:r>
    </w:p>
  </w:footnote>
  <w:footnote w:type="continuationSeparator" w:id="0">
    <w:p w14:paraId="4C36A25C" w14:textId="77777777" w:rsidR="001336D6" w:rsidRDefault="00133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85BEE" w14:textId="24CDB290" w:rsidR="00BC7646" w:rsidRDefault="00000000" w:rsidP="00805498">
    <w:pPr>
      <w:pStyle w:val="af0"/>
      <w:tabs>
        <w:tab w:val="right" w:pos="8504"/>
      </w:tabs>
      <w:jc w:val="right"/>
      <w:rPr>
        <w:rFonts w:hint="eastAsia"/>
      </w:rPr>
    </w:pPr>
    <w:r>
      <w:rPr>
        <w:rFonts w:hAnsi="宋体" w:hint="eastAsia"/>
      </w:rPr>
      <w:t>兴华</w:t>
    </w:r>
    <w:proofErr w:type="gramStart"/>
    <w:r>
      <w:rPr>
        <w:rFonts w:hAnsi="宋体" w:hint="eastAsia"/>
      </w:rPr>
      <w:t>安聚纯债</w:t>
    </w:r>
    <w:proofErr w:type="gramEnd"/>
    <w:r>
      <w:rPr>
        <w:rFonts w:hAnsi="宋体" w:hint="eastAsia"/>
      </w:rPr>
      <w:t>债券型证券投资基金</w:t>
    </w:r>
    <w:r w:rsidR="00805498">
      <w:rPr>
        <w:rFonts w:hAnsi="宋体" w:hint="eastAsia"/>
      </w:rPr>
      <w:t>托管协议</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9916" w14:textId="4267E536" w:rsidR="00BC7646" w:rsidRDefault="00000000" w:rsidP="00805498">
    <w:pPr>
      <w:pStyle w:val="af0"/>
      <w:tabs>
        <w:tab w:val="right" w:pos="8504"/>
      </w:tabs>
      <w:jc w:val="right"/>
    </w:pPr>
    <w:r>
      <w:rPr>
        <w:rFonts w:hAnsi="宋体" w:hint="eastAsia"/>
      </w:rPr>
      <w:t>兴华</w:t>
    </w:r>
    <w:proofErr w:type="gramStart"/>
    <w:r>
      <w:rPr>
        <w:rFonts w:hAnsi="宋体" w:hint="eastAsia"/>
      </w:rPr>
      <w:t>安聚纯债</w:t>
    </w:r>
    <w:proofErr w:type="gramEnd"/>
    <w:r>
      <w:rPr>
        <w:rFonts w:hAnsi="宋体" w:hint="eastAsia"/>
      </w:rPr>
      <w:t>债券型证券投资基金</w:t>
    </w:r>
    <w:r w:rsidR="00805498">
      <w:rPr>
        <w:rFonts w:hAnsi="宋体" w:hint="eastAsia"/>
      </w:rPr>
      <w:t>托管协议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E74"/>
    <w:rsid w:val="00000A74"/>
    <w:rsid w:val="00001AB6"/>
    <w:rsid w:val="00001E42"/>
    <w:rsid w:val="0000222C"/>
    <w:rsid w:val="00002977"/>
    <w:rsid w:val="00003D23"/>
    <w:rsid w:val="00003DDD"/>
    <w:rsid w:val="00004215"/>
    <w:rsid w:val="00007C2F"/>
    <w:rsid w:val="00010125"/>
    <w:rsid w:val="0001044F"/>
    <w:rsid w:val="000125C0"/>
    <w:rsid w:val="00013869"/>
    <w:rsid w:val="000147B2"/>
    <w:rsid w:val="00014D21"/>
    <w:rsid w:val="000152B9"/>
    <w:rsid w:val="00015E29"/>
    <w:rsid w:val="00016A01"/>
    <w:rsid w:val="00017201"/>
    <w:rsid w:val="000172C0"/>
    <w:rsid w:val="00021F8B"/>
    <w:rsid w:val="0002224A"/>
    <w:rsid w:val="00022BBB"/>
    <w:rsid w:val="00022D6C"/>
    <w:rsid w:val="00023EE9"/>
    <w:rsid w:val="00024205"/>
    <w:rsid w:val="00026074"/>
    <w:rsid w:val="00026739"/>
    <w:rsid w:val="0002775E"/>
    <w:rsid w:val="00027A3A"/>
    <w:rsid w:val="00027D10"/>
    <w:rsid w:val="0003011D"/>
    <w:rsid w:val="00030522"/>
    <w:rsid w:val="00030F74"/>
    <w:rsid w:val="00031A4E"/>
    <w:rsid w:val="00031D78"/>
    <w:rsid w:val="00031D96"/>
    <w:rsid w:val="00040796"/>
    <w:rsid w:val="00041EA9"/>
    <w:rsid w:val="00041F72"/>
    <w:rsid w:val="00042898"/>
    <w:rsid w:val="000441B2"/>
    <w:rsid w:val="00045017"/>
    <w:rsid w:val="00045690"/>
    <w:rsid w:val="00046DB8"/>
    <w:rsid w:val="00047461"/>
    <w:rsid w:val="00047948"/>
    <w:rsid w:val="00047EDD"/>
    <w:rsid w:val="000503EB"/>
    <w:rsid w:val="0005052F"/>
    <w:rsid w:val="00052827"/>
    <w:rsid w:val="00052BEE"/>
    <w:rsid w:val="00052D58"/>
    <w:rsid w:val="00053108"/>
    <w:rsid w:val="00054466"/>
    <w:rsid w:val="0005570B"/>
    <w:rsid w:val="00055D90"/>
    <w:rsid w:val="00057996"/>
    <w:rsid w:val="00064399"/>
    <w:rsid w:val="00064E77"/>
    <w:rsid w:val="00064F21"/>
    <w:rsid w:val="00065E04"/>
    <w:rsid w:val="00066315"/>
    <w:rsid w:val="0006703B"/>
    <w:rsid w:val="0006718A"/>
    <w:rsid w:val="000673A4"/>
    <w:rsid w:val="00067DA7"/>
    <w:rsid w:val="000701F7"/>
    <w:rsid w:val="00071723"/>
    <w:rsid w:val="00072176"/>
    <w:rsid w:val="00072651"/>
    <w:rsid w:val="0007281A"/>
    <w:rsid w:val="000733AE"/>
    <w:rsid w:val="00074758"/>
    <w:rsid w:val="00074F42"/>
    <w:rsid w:val="00075A37"/>
    <w:rsid w:val="00076C20"/>
    <w:rsid w:val="00076C89"/>
    <w:rsid w:val="0007714A"/>
    <w:rsid w:val="000774B1"/>
    <w:rsid w:val="00080929"/>
    <w:rsid w:val="00080AFA"/>
    <w:rsid w:val="00080D50"/>
    <w:rsid w:val="00080E58"/>
    <w:rsid w:val="0008111E"/>
    <w:rsid w:val="00081DE1"/>
    <w:rsid w:val="000822AE"/>
    <w:rsid w:val="00082FA8"/>
    <w:rsid w:val="00083994"/>
    <w:rsid w:val="0008451E"/>
    <w:rsid w:val="0009016D"/>
    <w:rsid w:val="00090707"/>
    <w:rsid w:val="00091E90"/>
    <w:rsid w:val="00092D8E"/>
    <w:rsid w:val="0009373C"/>
    <w:rsid w:val="00093DCA"/>
    <w:rsid w:val="00095055"/>
    <w:rsid w:val="00095700"/>
    <w:rsid w:val="00097239"/>
    <w:rsid w:val="000A1009"/>
    <w:rsid w:val="000A1593"/>
    <w:rsid w:val="000A1777"/>
    <w:rsid w:val="000A20C8"/>
    <w:rsid w:val="000A2313"/>
    <w:rsid w:val="000A3330"/>
    <w:rsid w:val="000A41D6"/>
    <w:rsid w:val="000A6084"/>
    <w:rsid w:val="000A7F3D"/>
    <w:rsid w:val="000B0C18"/>
    <w:rsid w:val="000B3268"/>
    <w:rsid w:val="000B48D7"/>
    <w:rsid w:val="000B6AA8"/>
    <w:rsid w:val="000B72E7"/>
    <w:rsid w:val="000C01BD"/>
    <w:rsid w:val="000C100E"/>
    <w:rsid w:val="000C1D2F"/>
    <w:rsid w:val="000C1E38"/>
    <w:rsid w:val="000C1FA6"/>
    <w:rsid w:val="000C26FF"/>
    <w:rsid w:val="000C293B"/>
    <w:rsid w:val="000C4BCF"/>
    <w:rsid w:val="000C53C7"/>
    <w:rsid w:val="000C5514"/>
    <w:rsid w:val="000C5A20"/>
    <w:rsid w:val="000C5B01"/>
    <w:rsid w:val="000C6767"/>
    <w:rsid w:val="000C68E7"/>
    <w:rsid w:val="000C6E67"/>
    <w:rsid w:val="000C6FAD"/>
    <w:rsid w:val="000C7426"/>
    <w:rsid w:val="000D1D73"/>
    <w:rsid w:val="000D2844"/>
    <w:rsid w:val="000D38A7"/>
    <w:rsid w:val="000D450E"/>
    <w:rsid w:val="000D7E47"/>
    <w:rsid w:val="000E35CB"/>
    <w:rsid w:val="000E453F"/>
    <w:rsid w:val="000E6573"/>
    <w:rsid w:val="000E7A28"/>
    <w:rsid w:val="000E7B68"/>
    <w:rsid w:val="000F0D87"/>
    <w:rsid w:val="000F0EC5"/>
    <w:rsid w:val="000F2A44"/>
    <w:rsid w:val="000F2B08"/>
    <w:rsid w:val="000F3A96"/>
    <w:rsid w:val="000F4DB7"/>
    <w:rsid w:val="00101124"/>
    <w:rsid w:val="00101318"/>
    <w:rsid w:val="00101B58"/>
    <w:rsid w:val="00102071"/>
    <w:rsid w:val="001037CA"/>
    <w:rsid w:val="00103F67"/>
    <w:rsid w:val="0010485A"/>
    <w:rsid w:val="00104B89"/>
    <w:rsid w:val="001051B2"/>
    <w:rsid w:val="00105310"/>
    <w:rsid w:val="00107976"/>
    <w:rsid w:val="00107CA5"/>
    <w:rsid w:val="00110704"/>
    <w:rsid w:val="00113B59"/>
    <w:rsid w:val="00115064"/>
    <w:rsid w:val="00116DC8"/>
    <w:rsid w:val="00117512"/>
    <w:rsid w:val="0011783B"/>
    <w:rsid w:val="00120287"/>
    <w:rsid w:val="00120ABE"/>
    <w:rsid w:val="00124047"/>
    <w:rsid w:val="0012435E"/>
    <w:rsid w:val="0012523C"/>
    <w:rsid w:val="00126670"/>
    <w:rsid w:val="00130A39"/>
    <w:rsid w:val="00131569"/>
    <w:rsid w:val="001320EC"/>
    <w:rsid w:val="00132D3A"/>
    <w:rsid w:val="00133130"/>
    <w:rsid w:val="0013367F"/>
    <w:rsid w:val="001336D6"/>
    <w:rsid w:val="00134CB2"/>
    <w:rsid w:val="00135008"/>
    <w:rsid w:val="00135458"/>
    <w:rsid w:val="00135F72"/>
    <w:rsid w:val="00136679"/>
    <w:rsid w:val="001405DB"/>
    <w:rsid w:val="00140CFC"/>
    <w:rsid w:val="00142667"/>
    <w:rsid w:val="00144834"/>
    <w:rsid w:val="001451B1"/>
    <w:rsid w:val="00146246"/>
    <w:rsid w:val="00147DC8"/>
    <w:rsid w:val="0015002A"/>
    <w:rsid w:val="00153191"/>
    <w:rsid w:val="00153674"/>
    <w:rsid w:val="00153CD2"/>
    <w:rsid w:val="0015665A"/>
    <w:rsid w:val="00156A3F"/>
    <w:rsid w:val="00156ABA"/>
    <w:rsid w:val="0015718F"/>
    <w:rsid w:val="00157714"/>
    <w:rsid w:val="00160684"/>
    <w:rsid w:val="00160700"/>
    <w:rsid w:val="00160BA5"/>
    <w:rsid w:val="00161406"/>
    <w:rsid w:val="00161DD2"/>
    <w:rsid w:val="0016557A"/>
    <w:rsid w:val="00170A79"/>
    <w:rsid w:val="00170B07"/>
    <w:rsid w:val="001718BE"/>
    <w:rsid w:val="00171EC7"/>
    <w:rsid w:val="00172530"/>
    <w:rsid w:val="0017370E"/>
    <w:rsid w:val="00174565"/>
    <w:rsid w:val="001748DD"/>
    <w:rsid w:val="00175369"/>
    <w:rsid w:val="00176684"/>
    <w:rsid w:val="00180B5C"/>
    <w:rsid w:val="00182D88"/>
    <w:rsid w:val="00183925"/>
    <w:rsid w:val="00183A8B"/>
    <w:rsid w:val="00185465"/>
    <w:rsid w:val="00185825"/>
    <w:rsid w:val="00185AD1"/>
    <w:rsid w:val="0018653A"/>
    <w:rsid w:val="001867AC"/>
    <w:rsid w:val="0019194A"/>
    <w:rsid w:val="00191A60"/>
    <w:rsid w:val="001945D9"/>
    <w:rsid w:val="001948EF"/>
    <w:rsid w:val="00195F54"/>
    <w:rsid w:val="001961E4"/>
    <w:rsid w:val="00197C29"/>
    <w:rsid w:val="001A27BB"/>
    <w:rsid w:val="001A31BA"/>
    <w:rsid w:val="001A4014"/>
    <w:rsid w:val="001A4100"/>
    <w:rsid w:val="001A4810"/>
    <w:rsid w:val="001B07DD"/>
    <w:rsid w:val="001B1697"/>
    <w:rsid w:val="001B225E"/>
    <w:rsid w:val="001B3B5D"/>
    <w:rsid w:val="001B4452"/>
    <w:rsid w:val="001B6582"/>
    <w:rsid w:val="001B76EE"/>
    <w:rsid w:val="001C044F"/>
    <w:rsid w:val="001C0471"/>
    <w:rsid w:val="001C064A"/>
    <w:rsid w:val="001C10E7"/>
    <w:rsid w:val="001C2010"/>
    <w:rsid w:val="001C2A8E"/>
    <w:rsid w:val="001C3C95"/>
    <w:rsid w:val="001C5106"/>
    <w:rsid w:val="001C545B"/>
    <w:rsid w:val="001C5B44"/>
    <w:rsid w:val="001C5B7E"/>
    <w:rsid w:val="001C6F2F"/>
    <w:rsid w:val="001C7377"/>
    <w:rsid w:val="001C7718"/>
    <w:rsid w:val="001C7DD5"/>
    <w:rsid w:val="001D0D88"/>
    <w:rsid w:val="001D141C"/>
    <w:rsid w:val="001D25D0"/>
    <w:rsid w:val="001D3D98"/>
    <w:rsid w:val="001D4655"/>
    <w:rsid w:val="001D46C2"/>
    <w:rsid w:val="001D4E11"/>
    <w:rsid w:val="001D5665"/>
    <w:rsid w:val="001D5CCB"/>
    <w:rsid w:val="001D695B"/>
    <w:rsid w:val="001D747C"/>
    <w:rsid w:val="001E0DBA"/>
    <w:rsid w:val="001E0E44"/>
    <w:rsid w:val="001E3395"/>
    <w:rsid w:val="001E467D"/>
    <w:rsid w:val="001E5F15"/>
    <w:rsid w:val="001E6730"/>
    <w:rsid w:val="001F0F63"/>
    <w:rsid w:val="001F2D81"/>
    <w:rsid w:val="001F2F62"/>
    <w:rsid w:val="001F31FB"/>
    <w:rsid w:val="001F4169"/>
    <w:rsid w:val="001F48FE"/>
    <w:rsid w:val="001F6F44"/>
    <w:rsid w:val="002009F5"/>
    <w:rsid w:val="00200A19"/>
    <w:rsid w:val="00200B7C"/>
    <w:rsid w:val="002019B6"/>
    <w:rsid w:val="00201FEC"/>
    <w:rsid w:val="00202449"/>
    <w:rsid w:val="0020269C"/>
    <w:rsid w:val="00205678"/>
    <w:rsid w:val="00205F5E"/>
    <w:rsid w:val="00206295"/>
    <w:rsid w:val="00206847"/>
    <w:rsid w:val="00206F0B"/>
    <w:rsid w:val="002071A9"/>
    <w:rsid w:val="00212C91"/>
    <w:rsid w:val="00214C41"/>
    <w:rsid w:val="00215314"/>
    <w:rsid w:val="00216CAA"/>
    <w:rsid w:val="00221432"/>
    <w:rsid w:val="002215D2"/>
    <w:rsid w:val="00222341"/>
    <w:rsid w:val="0022569D"/>
    <w:rsid w:val="00227149"/>
    <w:rsid w:val="002306C9"/>
    <w:rsid w:val="00231B62"/>
    <w:rsid w:val="002330CA"/>
    <w:rsid w:val="002332D3"/>
    <w:rsid w:val="0023597C"/>
    <w:rsid w:val="002365C4"/>
    <w:rsid w:val="00236CB4"/>
    <w:rsid w:val="00237AD7"/>
    <w:rsid w:val="0024032B"/>
    <w:rsid w:val="00241BD6"/>
    <w:rsid w:val="00242261"/>
    <w:rsid w:val="00242944"/>
    <w:rsid w:val="00242E69"/>
    <w:rsid w:val="002432E1"/>
    <w:rsid w:val="002443C8"/>
    <w:rsid w:val="002448A1"/>
    <w:rsid w:val="00245832"/>
    <w:rsid w:val="0024629B"/>
    <w:rsid w:val="00246B69"/>
    <w:rsid w:val="00246CC3"/>
    <w:rsid w:val="00247986"/>
    <w:rsid w:val="00247FC1"/>
    <w:rsid w:val="00252808"/>
    <w:rsid w:val="00255BB9"/>
    <w:rsid w:val="00256DAB"/>
    <w:rsid w:val="0025780A"/>
    <w:rsid w:val="0026065F"/>
    <w:rsid w:val="00262996"/>
    <w:rsid w:val="002631C1"/>
    <w:rsid w:val="00264491"/>
    <w:rsid w:val="00267009"/>
    <w:rsid w:val="00271665"/>
    <w:rsid w:val="00271A77"/>
    <w:rsid w:val="002721EC"/>
    <w:rsid w:val="00273CEE"/>
    <w:rsid w:val="00274125"/>
    <w:rsid w:val="002759C1"/>
    <w:rsid w:val="00275EA7"/>
    <w:rsid w:val="00276CBA"/>
    <w:rsid w:val="0028322F"/>
    <w:rsid w:val="002849F6"/>
    <w:rsid w:val="00284B90"/>
    <w:rsid w:val="00284E4C"/>
    <w:rsid w:val="00285808"/>
    <w:rsid w:val="00285E1A"/>
    <w:rsid w:val="0028655B"/>
    <w:rsid w:val="002868AC"/>
    <w:rsid w:val="00287B07"/>
    <w:rsid w:val="00287DD6"/>
    <w:rsid w:val="00291ACE"/>
    <w:rsid w:val="00292A48"/>
    <w:rsid w:val="002949E9"/>
    <w:rsid w:val="00295620"/>
    <w:rsid w:val="0029563B"/>
    <w:rsid w:val="002961C9"/>
    <w:rsid w:val="00296911"/>
    <w:rsid w:val="002A0B4E"/>
    <w:rsid w:val="002A2BDE"/>
    <w:rsid w:val="002A32FC"/>
    <w:rsid w:val="002A3563"/>
    <w:rsid w:val="002A5EC3"/>
    <w:rsid w:val="002A6021"/>
    <w:rsid w:val="002A6425"/>
    <w:rsid w:val="002A790E"/>
    <w:rsid w:val="002A7E73"/>
    <w:rsid w:val="002B096E"/>
    <w:rsid w:val="002B11CF"/>
    <w:rsid w:val="002B166B"/>
    <w:rsid w:val="002B19DD"/>
    <w:rsid w:val="002B2AD4"/>
    <w:rsid w:val="002B38BF"/>
    <w:rsid w:val="002B611F"/>
    <w:rsid w:val="002B6FCD"/>
    <w:rsid w:val="002B70FC"/>
    <w:rsid w:val="002B7266"/>
    <w:rsid w:val="002B7527"/>
    <w:rsid w:val="002C06EA"/>
    <w:rsid w:val="002C14CC"/>
    <w:rsid w:val="002C2B27"/>
    <w:rsid w:val="002C512F"/>
    <w:rsid w:val="002C6520"/>
    <w:rsid w:val="002C6DF2"/>
    <w:rsid w:val="002C7C3C"/>
    <w:rsid w:val="002D01E0"/>
    <w:rsid w:val="002D0830"/>
    <w:rsid w:val="002D0E69"/>
    <w:rsid w:val="002D155A"/>
    <w:rsid w:val="002D1D4F"/>
    <w:rsid w:val="002D51DC"/>
    <w:rsid w:val="002E05C3"/>
    <w:rsid w:val="002E097E"/>
    <w:rsid w:val="002E0CB9"/>
    <w:rsid w:val="002E1485"/>
    <w:rsid w:val="002E3DED"/>
    <w:rsid w:val="002E46D7"/>
    <w:rsid w:val="002E54B5"/>
    <w:rsid w:val="002E5EA9"/>
    <w:rsid w:val="002E63A2"/>
    <w:rsid w:val="002E7436"/>
    <w:rsid w:val="002F05FF"/>
    <w:rsid w:val="002F140D"/>
    <w:rsid w:val="002F1487"/>
    <w:rsid w:val="002F1E2E"/>
    <w:rsid w:val="002F2074"/>
    <w:rsid w:val="002F211E"/>
    <w:rsid w:val="002F3F6D"/>
    <w:rsid w:val="002F66B1"/>
    <w:rsid w:val="002F68F6"/>
    <w:rsid w:val="002F7CF6"/>
    <w:rsid w:val="003005AD"/>
    <w:rsid w:val="0030185D"/>
    <w:rsid w:val="003026F5"/>
    <w:rsid w:val="00302AAF"/>
    <w:rsid w:val="00303572"/>
    <w:rsid w:val="00304DFC"/>
    <w:rsid w:val="00306429"/>
    <w:rsid w:val="00306703"/>
    <w:rsid w:val="00306F8C"/>
    <w:rsid w:val="003123ED"/>
    <w:rsid w:val="003137F2"/>
    <w:rsid w:val="0031445C"/>
    <w:rsid w:val="003154CF"/>
    <w:rsid w:val="00317282"/>
    <w:rsid w:val="00317638"/>
    <w:rsid w:val="00320987"/>
    <w:rsid w:val="003218D4"/>
    <w:rsid w:val="00322A50"/>
    <w:rsid w:val="00323511"/>
    <w:rsid w:val="00324817"/>
    <w:rsid w:val="0032522B"/>
    <w:rsid w:val="00330931"/>
    <w:rsid w:val="00333688"/>
    <w:rsid w:val="003336F7"/>
    <w:rsid w:val="00334BA8"/>
    <w:rsid w:val="00334F74"/>
    <w:rsid w:val="00335A14"/>
    <w:rsid w:val="003369A7"/>
    <w:rsid w:val="003377AB"/>
    <w:rsid w:val="00342DF8"/>
    <w:rsid w:val="003431C7"/>
    <w:rsid w:val="00344845"/>
    <w:rsid w:val="00345036"/>
    <w:rsid w:val="00345B28"/>
    <w:rsid w:val="0034647E"/>
    <w:rsid w:val="0034750D"/>
    <w:rsid w:val="0035132A"/>
    <w:rsid w:val="003532E6"/>
    <w:rsid w:val="00353894"/>
    <w:rsid w:val="00355528"/>
    <w:rsid w:val="00355981"/>
    <w:rsid w:val="00360142"/>
    <w:rsid w:val="00360FE3"/>
    <w:rsid w:val="003612D2"/>
    <w:rsid w:val="0036133E"/>
    <w:rsid w:val="00363DFF"/>
    <w:rsid w:val="003659AF"/>
    <w:rsid w:val="00366692"/>
    <w:rsid w:val="0036771C"/>
    <w:rsid w:val="00371CDD"/>
    <w:rsid w:val="003726C2"/>
    <w:rsid w:val="003741C6"/>
    <w:rsid w:val="003754E7"/>
    <w:rsid w:val="00375FF7"/>
    <w:rsid w:val="003775EC"/>
    <w:rsid w:val="00381168"/>
    <w:rsid w:val="00381E2C"/>
    <w:rsid w:val="00382144"/>
    <w:rsid w:val="00383076"/>
    <w:rsid w:val="003832F1"/>
    <w:rsid w:val="003846D9"/>
    <w:rsid w:val="003859A0"/>
    <w:rsid w:val="003873EB"/>
    <w:rsid w:val="003879F0"/>
    <w:rsid w:val="00392EBE"/>
    <w:rsid w:val="00394547"/>
    <w:rsid w:val="003953BF"/>
    <w:rsid w:val="0039673F"/>
    <w:rsid w:val="003973B1"/>
    <w:rsid w:val="003979A1"/>
    <w:rsid w:val="003A1410"/>
    <w:rsid w:val="003A30E5"/>
    <w:rsid w:val="003A4F07"/>
    <w:rsid w:val="003A6B7B"/>
    <w:rsid w:val="003A726C"/>
    <w:rsid w:val="003B1351"/>
    <w:rsid w:val="003B29EE"/>
    <w:rsid w:val="003B5DEA"/>
    <w:rsid w:val="003B61B9"/>
    <w:rsid w:val="003B73A6"/>
    <w:rsid w:val="003C0916"/>
    <w:rsid w:val="003C104A"/>
    <w:rsid w:val="003C14EA"/>
    <w:rsid w:val="003C1CDC"/>
    <w:rsid w:val="003C1DDE"/>
    <w:rsid w:val="003C29ED"/>
    <w:rsid w:val="003C56AB"/>
    <w:rsid w:val="003C5DC5"/>
    <w:rsid w:val="003C6190"/>
    <w:rsid w:val="003C6F5C"/>
    <w:rsid w:val="003C756C"/>
    <w:rsid w:val="003C765C"/>
    <w:rsid w:val="003D19B9"/>
    <w:rsid w:val="003D360A"/>
    <w:rsid w:val="003D3A28"/>
    <w:rsid w:val="003D3B3E"/>
    <w:rsid w:val="003D49AD"/>
    <w:rsid w:val="003D4BBC"/>
    <w:rsid w:val="003D5389"/>
    <w:rsid w:val="003D584F"/>
    <w:rsid w:val="003D5A96"/>
    <w:rsid w:val="003D6229"/>
    <w:rsid w:val="003D7BA3"/>
    <w:rsid w:val="003E0139"/>
    <w:rsid w:val="003E0AD5"/>
    <w:rsid w:val="003E0FFB"/>
    <w:rsid w:val="003E16F3"/>
    <w:rsid w:val="003E21A2"/>
    <w:rsid w:val="003E2856"/>
    <w:rsid w:val="003E2E83"/>
    <w:rsid w:val="003E420B"/>
    <w:rsid w:val="003E46C5"/>
    <w:rsid w:val="003E49A4"/>
    <w:rsid w:val="003E6323"/>
    <w:rsid w:val="003E6A9B"/>
    <w:rsid w:val="003F0597"/>
    <w:rsid w:val="003F6573"/>
    <w:rsid w:val="003F784C"/>
    <w:rsid w:val="004008A7"/>
    <w:rsid w:val="00400F1F"/>
    <w:rsid w:val="00401460"/>
    <w:rsid w:val="00401C64"/>
    <w:rsid w:val="004038C3"/>
    <w:rsid w:val="00404EEE"/>
    <w:rsid w:val="0040528D"/>
    <w:rsid w:val="00405405"/>
    <w:rsid w:val="0040782C"/>
    <w:rsid w:val="00407946"/>
    <w:rsid w:val="004106FF"/>
    <w:rsid w:val="00411088"/>
    <w:rsid w:val="00412D2C"/>
    <w:rsid w:val="00413626"/>
    <w:rsid w:val="00413681"/>
    <w:rsid w:val="004142E4"/>
    <w:rsid w:val="00420413"/>
    <w:rsid w:val="004212F4"/>
    <w:rsid w:val="004228E0"/>
    <w:rsid w:val="00422A9E"/>
    <w:rsid w:val="00423845"/>
    <w:rsid w:val="00424FF4"/>
    <w:rsid w:val="004255F7"/>
    <w:rsid w:val="00425D01"/>
    <w:rsid w:val="004265DC"/>
    <w:rsid w:val="004275E3"/>
    <w:rsid w:val="00427FD7"/>
    <w:rsid w:val="00431AC3"/>
    <w:rsid w:val="00431F66"/>
    <w:rsid w:val="004324F7"/>
    <w:rsid w:val="004342E9"/>
    <w:rsid w:val="00434945"/>
    <w:rsid w:val="00434EAE"/>
    <w:rsid w:val="0043534E"/>
    <w:rsid w:val="004359C6"/>
    <w:rsid w:val="004365D5"/>
    <w:rsid w:val="00437913"/>
    <w:rsid w:val="00440182"/>
    <w:rsid w:val="00440E3A"/>
    <w:rsid w:val="0044103D"/>
    <w:rsid w:val="004421AB"/>
    <w:rsid w:val="00442478"/>
    <w:rsid w:val="00442664"/>
    <w:rsid w:val="00443C07"/>
    <w:rsid w:val="0044539E"/>
    <w:rsid w:val="00450FE9"/>
    <w:rsid w:val="00451E7F"/>
    <w:rsid w:val="0045245E"/>
    <w:rsid w:val="004535FF"/>
    <w:rsid w:val="004549F0"/>
    <w:rsid w:val="0045745D"/>
    <w:rsid w:val="00461104"/>
    <w:rsid w:val="00461631"/>
    <w:rsid w:val="00461F61"/>
    <w:rsid w:val="00464303"/>
    <w:rsid w:val="00467318"/>
    <w:rsid w:val="00467888"/>
    <w:rsid w:val="004679AC"/>
    <w:rsid w:val="00467DCB"/>
    <w:rsid w:val="00470498"/>
    <w:rsid w:val="00470E62"/>
    <w:rsid w:val="0047119A"/>
    <w:rsid w:val="004727F3"/>
    <w:rsid w:val="00473B5C"/>
    <w:rsid w:val="00473CA2"/>
    <w:rsid w:val="00475541"/>
    <w:rsid w:val="00476249"/>
    <w:rsid w:val="00477C58"/>
    <w:rsid w:val="0048026F"/>
    <w:rsid w:val="004808BA"/>
    <w:rsid w:val="00481589"/>
    <w:rsid w:val="00483DCF"/>
    <w:rsid w:val="00485805"/>
    <w:rsid w:val="00486012"/>
    <w:rsid w:val="0048671F"/>
    <w:rsid w:val="0048715E"/>
    <w:rsid w:val="00487627"/>
    <w:rsid w:val="00492BCA"/>
    <w:rsid w:val="00493296"/>
    <w:rsid w:val="00493DC8"/>
    <w:rsid w:val="00494817"/>
    <w:rsid w:val="004A11FE"/>
    <w:rsid w:val="004A3204"/>
    <w:rsid w:val="004A4931"/>
    <w:rsid w:val="004B0ED0"/>
    <w:rsid w:val="004B144E"/>
    <w:rsid w:val="004B2C2F"/>
    <w:rsid w:val="004B31DB"/>
    <w:rsid w:val="004B6573"/>
    <w:rsid w:val="004B752C"/>
    <w:rsid w:val="004B7C6E"/>
    <w:rsid w:val="004C007C"/>
    <w:rsid w:val="004C120F"/>
    <w:rsid w:val="004C1487"/>
    <w:rsid w:val="004C2330"/>
    <w:rsid w:val="004C4834"/>
    <w:rsid w:val="004C4B4F"/>
    <w:rsid w:val="004C59D2"/>
    <w:rsid w:val="004C707D"/>
    <w:rsid w:val="004C717B"/>
    <w:rsid w:val="004C796D"/>
    <w:rsid w:val="004D2553"/>
    <w:rsid w:val="004D2A62"/>
    <w:rsid w:val="004D2E26"/>
    <w:rsid w:val="004D2EAB"/>
    <w:rsid w:val="004D2FCF"/>
    <w:rsid w:val="004D31F8"/>
    <w:rsid w:val="004D5ACC"/>
    <w:rsid w:val="004E0F7D"/>
    <w:rsid w:val="004E1291"/>
    <w:rsid w:val="004E14CC"/>
    <w:rsid w:val="004E1542"/>
    <w:rsid w:val="004E7184"/>
    <w:rsid w:val="004F42A5"/>
    <w:rsid w:val="004F42C1"/>
    <w:rsid w:val="004F501E"/>
    <w:rsid w:val="004F6344"/>
    <w:rsid w:val="0050090A"/>
    <w:rsid w:val="00503D3F"/>
    <w:rsid w:val="0050460A"/>
    <w:rsid w:val="00504AC5"/>
    <w:rsid w:val="0050538B"/>
    <w:rsid w:val="005054F4"/>
    <w:rsid w:val="00505AC7"/>
    <w:rsid w:val="00511C6C"/>
    <w:rsid w:val="00512B10"/>
    <w:rsid w:val="005143A9"/>
    <w:rsid w:val="005144D3"/>
    <w:rsid w:val="005148CD"/>
    <w:rsid w:val="005159EF"/>
    <w:rsid w:val="00515D94"/>
    <w:rsid w:val="00517C04"/>
    <w:rsid w:val="00521B52"/>
    <w:rsid w:val="00522237"/>
    <w:rsid w:val="0052319D"/>
    <w:rsid w:val="00523981"/>
    <w:rsid w:val="005248B6"/>
    <w:rsid w:val="00524F5F"/>
    <w:rsid w:val="005257F2"/>
    <w:rsid w:val="00526015"/>
    <w:rsid w:val="00526989"/>
    <w:rsid w:val="00527783"/>
    <w:rsid w:val="00527790"/>
    <w:rsid w:val="00527B02"/>
    <w:rsid w:val="00530278"/>
    <w:rsid w:val="00535134"/>
    <w:rsid w:val="0053715E"/>
    <w:rsid w:val="005406CB"/>
    <w:rsid w:val="00542149"/>
    <w:rsid w:val="00544703"/>
    <w:rsid w:val="005451F9"/>
    <w:rsid w:val="005472AE"/>
    <w:rsid w:val="005502D9"/>
    <w:rsid w:val="00550DC7"/>
    <w:rsid w:val="00550F23"/>
    <w:rsid w:val="00552C8B"/>
    <w:rsid w:val="00556EE6"/>
    <w:rsid w:val="00562727"/>
    <w:rsid w:val="005630A4"/>
    <w:rsid w:val="00564A0A"/>
    <w:rsid w:val="00564CC8"/>
    <w:rsid w:val="00564D50"/>
    <w:rsid w:val="005660EE"/>
    <w:rsid w:val="00566274"/>
    <w:rsid w:val="0056678C"/>
    <w:rsid w:val="00570215"/>
    <w:rsid w:val="00570851"/>
    <w:rsid w:val="00571B4A"/>
    <w:rsid w:val="00571F3E"/>
    <w:rsid w:val="00572051"/>
    <w:rsid w:val="00572850"/>
    <w:rsid w:val="0057767E"/>
    <w:rsid w:val="00580351"/>
    <w:rsid w:val="00580A4E"/>
    <w:rsid w:val="005822B8"/>
    <w:rsid w:val="00582659"/>
    <w:rsid w:val="00583F43"/>
    <w:rsid w:val="005849A4"/>
    <w:rsid w:val="00584B73"/>
    <w:rsid w:val="00586675"/>
    <w:rsid w:val="0059085A"/>
    <w:rsid w:val="00591E65"/>
    <w:rsid w:val="00593932"/>
    <w:rsid w:val="00594A4C"/>
    <w:rsid w:val="00596776"/>
    <w:rsid w:val="005A06D7"/>
    <w:rsid w:val="005A0F46"/>
    <w:rsid w:val="005A23A1"/>
    <w:rsid w:val="005A41FF"/>
    <w:rsid w:val="005A7140"/>
    <w:rsid w:val="005B060E"/>
    <w:rsid w:val="005B14BA"/>
    <w:rsid w:val="005B1738"/>
    <w:rsid w:val="005B240C"/>
    <w:rsid w:val="005B4925"/>
    <w:rsid w:val="005B6483"/>
    <w:rsid w:val="005B66FD"/>
    <w:rsid w:val="005B685B"/>
    <w:rsid w:val="005B6A9D"/>
    <w:rsid w:val="005B793E"/>
    <w:rsid w:val="005B7988"/>
    <w:rsid w:val="005B7C8B"/>
    <w:rsid w:val="005C0810"/>
    <w:rsid w:val="005C2546"/>
    <w:rsid w:val="005C407E"/>
    <w:rsid w:val="005C4FF8"/>
    <w:rsid w:val="005C7F22"/>
    <w:rsid w:val="005D1BCF"/>
    <w:rsid w:val="005D1EB5"/>
    <w:rsid w:val="005D3BF2"/>
    <w:rsid w:val="005D3BFB"/>
    <w:rsid w:val="005D429F"/>
    <w:rsid w:val="005D58AE"/>
    <w:rsid w:val="005D6727"/>
    <w:rsid w:val="005D7F1C"/>
    <w:rsid w:val="005E0DDD"/>
    <w:rsid w:val="005E2F56"/>
    <w:rsid w:val="005E5066"/>
    <w:rsid w:val="005E5321"/>
    <w:rsid w:val="005E6E86"/>
    <w:rsid w:val="005E7E14"/>
    <w:rsid w:val="005F0EBB"/>
    <w:rsid w:val="005F20E0"/>
    <w:rsid w:val="005F239A"/>
    <w:rsid w:val="005F288F"/>
    <w:rsid w:val="005F2B6C"/>
    <w:rsid w:val="005F2BCB"/>
    <w:rsid w:val="005F2EA4"/>
    <w:rsid w:val="005F3385"/>
    <w:rsid w:val="005F3898"/>
    <w:rsid w:val="005F3B5B"/>
    <w:rsid w:val="005F3CC2"/>
    <w:rsid w:val="005F3E7C"/>
    <w:rsid w:val="005F559E"/>
    <w:rsid w:val="005F751B"/>
    <w:rsid w:val="005F7822"/>
    <w:rsid w:val="00602FEF"/>
    <w:rsid w:val="0060476E"/>
    <w:rsid w:val="006058CA"/>
    <w:rsid w:val="00607523"/>
    <w:rsid w:val="006100CE"/>
    <w:rsid w:val="00610509"/>
    <w:rsid w:val="0061136C"/>
    <w:rsid w:val="006114C3"/>
    <w:rsid w:val="00611B88"/>
    <w:rsid w:val="00611F48"/>
    <w:rsid w:val="00613F8A"/>
    <w:rsid w:val="00613FA0"/>
    <w:rsid w:val="00614248"/>
    <w:rsid w:val="00615A06"/>
    <w:rsid w:val="0061658F"/>
    <w:rsid w:val="00620336"/>
    <w:rsid w:val="00621321"/>
    <w:rsid w:val="0062375D"/>
    <w:rsid w:val="006245AD"/>
    <w:rsid w:val="00624EFE"/>
    <w:rsid w:val="00625368"/>
    <w:rsid w:val="006256CA"/>
    <w:rsid w:val="006268D8"/>
    <w:rsid w:val="00630E19"/>
    <w:rsid w:val="00630ECF"/>
    <w:rsid w:val="00632A7D"/>
    <w:rsid w:val="00632EF1"/>
    <w:rsid w:val="0063325A"/>
    <w:rsid w:val="00635030"/>
    <w:rsid w:val="00636B45"/>
    <w:rsid w:val="00640599"/>
    <w:rsid w:val="00640932"/>
    <w:rsid w:val="006414CE"/>
    <w:rsid w:val="00642062"/>
    <w:rsid w:val="00642412"/>
    <w:rsid w:val="0064287F"/>
    <w:rsid w:val="00643A81"/>
    <w:rsid w:val="0064439E"/>
    <w:rsid w:val="00644B26"/>
    <w:rsid w:val="006475D5"/>
    <w:rsid w:val="00651009"/>
    <w:rsid w:val="006520C3"/>
    <w:rsid w:val="00652128"/>
    <w:rsid w:val="006523E2"/>
    <w:rsid w:val="00652650"/>
    <w:rsid w:val="0065285B"/>
    <w:rsid w:val="00652DBF"/>
    <w:rsid w:val="00653098"/>
    <w:rsid w:val="006544FB"/>
    <w:rsid w:val="00656AC3"/>
    <w:rsid w:val="00657FCE"/>
    <w:rsid w:val="00660A76"/>
    <w:rsid w:val="00663B13"/>
    <w:rsid w:val="0066452E"/>
    <w:rsid w:val="0066712A"/>
    <w:rsid w:val="00667E4B"/>
    <w:rsid w:val="00670B94"/>
    <w:rsid w:val="00671324"/>
    <w:rsid w:val="00672A62"/>
    <w:rsid w:val="00673714"/>
    <w:rsid w:val="00675CB1"/>
    <w:rsid w:val="0067601C"/>
    <w:rsid w:val="0067725F"/>
    <w:rsid w:val="006774CA"/>
    <w:rsid w:val="00677614"/>
    <w:rsid w:val="00680CD2"/>
    <w:rsid w:val="0068115B"/>
    <w:rsid w:val="00681481"/>
    <w:rsid w:val="0068244F"/>
    <w:rsid w:val="0068309C"/>
    <w:rsid w:val="00683205"/>
    <w:rsid w:val="00683A15"/>
    <w:rsid w:val="00684079"/>
    <w:rsid w:val="006841EB"/>
    <w:rsid w:val="0068589C"/>
    <w:rsid w:val="00685EC8"/>
    <w:rsid w:val="00687C19"/>
    <w:rsid w:val="00691621"/>
    <w:rsid w:val="00692567"/>
    <w:rsid w:val="00692E26"/>
    <w:rsid w:val="006935CA"/>
    <w:rsid w:val="00694C3B"/>
    <w:rsid w:val="00696517"/>
    <w:rsid w:val="006975FC"/>
    <w:rsid w:val="006A2497"/>
    <w:rsid w:val="006A2CB1"/>
    <w:rsid w:val="006A4448"/>
    <w:rsid w:val="006B3091"/>
    <w:rsid w:val="006B42CE"/>
    <w:rsid w:val="006B42E3"/>
    <w:rsid w:val="006B539D"/>
    <w:rsid w:val="006B5A47"/>
    <w:rsid w:val="006B61D0"/>
    <w:rsid w:val="006B6A5C"/>
    <w:rsid w:val="006B7B59"/>
    <w:rsid w:val="006B7DD6"/>
    <w:rsid w:val="006C65B7"/>
    <w:rsid w:val="006C7BF9"/>
    <w:rsid w:val="006C7C04"/>
    <w:rsid w:val="006D2279"/>
    <w:rsid w:val="006D4F15"/>
    <w:rsid w:val="006D5FE6"/>
    <w:rsid w:val="006D62EB"/>
    <w:rsid w:val="006D6863"/>
    <w:rsid w:val="006D70CA"/>
    <w:rsid w:val="006D7706"/>
    <w:rsid w:val="006E1914"/>
    <w:rsid w:val="006E1E1B"/>
    <w:rsid w:val="006E2B47"/>
    <w:rsid w:val="006E2D2F"/>
    <w:rsid w:val="006E30E0"/>
    <w:rsid w:val="006E463B"/>
    <w:rsid w:val="006E56FE"/>
    <w:rsid w:val="006E5ECE"/>
    <w:rsid w:val="006E7E3E"/>
    <w:rsid w:val="006F1996"/>
    <w:rsid w:val="006F2C40"/>
    <w:rsid w:val="006F637B"/>
    <w:rsid w:val="006F74BD"/>
    <w:rsid w:val="006F773E"/>
    <w:rsid w:val="006F7764"/>
    <w:rsid w:val="006F7EFD"/>
    <w:rsid w:val="007012A0"/>
    <w:rsid w:val="00701585"/>
    <w:rsid w:val="007030BF"/>
    <w:rsid w:val="00703FD5"/>
    <w:rsid w:val="0070609D"/>
    <w:rsid w:val="00711BDE"/>
    <w:rsid w:val="007124F5"/>
    <w:rsid w:val="00712866"/>
    <w:rsid w:val="00714D5A"/>
    <w:rsid w:val="00714F97"/>
    <w:rsid w:val="00717934"/>
    <w:rsid w:val="007217B5"/>
    <w:rsid w:val="00722A46"/>
    <w:rsid w:val="007244D7"/>
    <w:rsid w:val="00725F0B"/>
    <w:rsid w:val="00730C47"/>
    <w:rsid w:val="00730EA4"/>
    <w:rsid w:val="00731589"/>
    <w:rsid w:val="00731BF2"/>
    <w:rsid w:val="00732097"/>
    <w:rsid w:val="007328E1"/>
    <w:rsid w:val="00732CE8"/>
    <w:rsid w:val="00734A9B"/>
    <w:rsid w:val="00735EE5"/>
    <w:rsid w:val="00736D7A"/>
    <w:rsid w:val="00737CBE"/>
    <w:rsid w:val="00741188"/>
    <w:rsid w:val="0074155D"/>
    <w:rsid w:val="00741591"/>
    <w:rsid w:val="00744D9A"/>
    <w:rsid w:val="00746CAE"/>
    <w:rsid w:val="00747604"/>
    <w:rsid w:val="007516E5"/>
    <w:rsid w:val="007519D1"/>
    <w:rsid w:val="00752614"/>
    <w:rsid w:val="00752925"/>
    <w:rsid w:val="00753265"/>
    <w:rsid w:val="007542FB"/>
    <w:rsid w:val="0075647E"/>
    <w:rsid w:val="00756585"/>
    <w:rsid w:val="00756BF1"/>
    <w:rsid w:val="00756E58"/>
    <w:rsid w:val="00757919"/>
    <w:rsid w:val="00757EF2"/>
    <w:rsid w:val="007606BC"/>
    <w:rsid w:val="0076074D"/>
    <w:rsid w:val="0076471D"/>
    <w:rsid w:val="00765A5B"/>
    <w:rsid w:val="007662C0"/>
    <w:rsid w:val="00766662"/>
    <w:rsid w:val="00766773"/>
    <w:rsid w:val="00766CC7"/>
    <w:rsid w:val="00766F04"/>
    <w:rsid w:val="00772EC6"/>
    <w:rsid w:val="0077494E"/>
    <w:rsid w:val="00774D42"/>
    <w:rsid w:val="00775532"/>
    <w:rsid w:val="007764C4"/>
    <w:rsid w:val="007801DE"/>
    <w:rsid w:val="00780560"/>
    <w:rsid w:val="00781111"/>
    <w:rsid w:val="0078152B"/>
    <w:rsid w:val="0078195F"/>
    <w:rsid w:val="007835B9"/>
    <w:rsid w:val="007837E3"/>
    <w:rsid w:val="0078430B"/>
    <w:rsid w:val="007853E3"/>
    <w:rsid w:val="00785A06"/>
    <w:rsid w:val="007861DB"/>
    <w:rsid w:val="0078628A"/>
    <w:rsid w:val="007873DA"/>
    <w:rsid w:val="00787792"/>
    <w:rsid w:val="007911F6"/>
    <w:rsid w:val="007916EA"/>
    <w:rsid w:val="00792AAD"/>
    <w:rsid w:val="00792E5B"/>
    <w:rsid w:val="007931F2"/>
    <w:rsid w:val="00793662"/>
    <w:rsid w:val="00793A8E"/>
    <w:rsid w:val="00793C1F"/>
    <w:rsid w:val="00796B3C"/>
    <w:rsid w:val="00796DD2"/>
    <w:rsid w:val="00797097"/>
    <w:rsid w:val="00797644"/>
    <w:rsid w:val="007A1FB1"/>
    <w:rsid w:val="007A3416"/>
    <w:rsid w:val="007A351B"/>
    <w:rsid w:val="007A3F9F"/>
    <w:rsid w:val="007A6B8B"/>
    <w:rsid w:val="007A6E8B"/>
    <w:rsid w:val="007B0C69"/>
    <w:rsid w:val="007B0D4E"/>
    <w:rsid w:val="007B0E25"/>
    <w:rsid w:val="007B1637"/>
    <w:rsid w:val="007B2DFC"/>
    <w:rsid w:val="007B2EB0"/>
    <w:rsid w:val="007B343B"/>
    <w:rsid w:val="007B3DFF"/>
    <w:rsid w:val="007B4477"/>
    <w:rsid w:val="007B4881"/>
    <w:rsid w:val="007B65FA"/>
    <w:rsid w:val="007C0329"/>
    <w:rsid w:val="007C1033"/>
    <w:rsid w:val="007C309B"/>
    <w:rsid w:val="007C7465"/>
    <w:rsid w:val="007D2175"/>
    <w:rsid w:val="007D26AA"/>
    <w:rsid w:val="007D5C10"/>
    <w:rsid w:val="007E1AC2"/>
    <w:rsid w:val="007E1E13"/>
    <w:rsid w:val="007E2490"/>
    <w:rsid w:val="007E2D45"/>
    <w:rsid w:val="007E53FF"/>
    <w:rsid w:val="007E6F7F"/>
    <w:rsid w:val="007E75B8"/>
    <w:rsid w:val="007E7A88"/>
    <w:rsid w:val="007E7B82"/>
    <w:rsid w:val="007F0197"/>
    <w:rsid w:val="007F0C87"/>
    <w:rsid w:val="007F1F61"/>
    <w:rsid w:val="007F37CC"/>
    <w:rsid w:val="007F4F9E"/>
    <w:rsid w:val="007F64C0"/>
    <w:rsid w:val="007F7716"/>
    <w:rsid w:val="0080033D"/>
    <w:rsid w:val="00800A9F"/>
    <w:rsid w:val="00801335"/>
    <w:rsid w:val="0080217A"/>
    <w:rsid w:val="00802AEE"/>
    <w:rsid w:val="00802BF3"/>
    <w:rsid w:val="0080398E"/>
    <w:rsid w:val="00803C82"/>
    <w:rsid w:val="00805498"/>
    <w:rsid w:val="00805F2E"/>
    <w:rsid w:val="008063D9"/>
    <w:rsid w:val="00806BB3"/>
    <w:rsid w:val="00806BE9"/>
    <w:rsid w:val="00806FA6"/>
    <w:rsid w:val="00807072"/>
    <w:rsid w:val="00807401"/>
    <w:rsid w:val="00807491"/>
    <w:rsid w:val="00810902"/>
    <w:rsid w:val="00811A25"/>
    <w:rsid w:val="00811F94"/>
    <w:rsid w:val="00812583"/>
    <w:rsid w:val="00812A92"/>
    <w:rsid w:val="00813A33"/>
    <w:rsid w:val="00814927"/>
    <w:rsid w:val="00815297"/>
    <w:rsid w:val="00817A28"/>
    <w:rsid w:val="00820A94"/>
    <w:rsid w:val="0082124A"/>
    <w:rsid w:val="008224DD"/>
    <w:rsid w:val="00822FD6"/>
    <w:rsid w:val="0082507C"/>
    <w:rsid w:val="00825917"/>
    <w:rsid w:val="008268A7"/>
    <w:rsid w:val="00826953"/>
    <w:rsid w:val="00826F31"/>
    <w:rsid w:val="008274A4"/>
    <w:rsid w:val="00830404"/>
    <w:rsid w:val="00830F1B"/>
    <w:rsid w:val="00830FDE"/>
    <w:rsid w:val="00832DBF"/>
    <w:rsid w:val="008334AE"/>
    <w:rsid w:val="00833FA1"/>
    <w:rsid w:val="00836508"/>
    <w:rsid w:val="00836E06"/>
    <w:rsid w:val="00842A4E"/>
    <w:rsid w:val="0084364F"/>
    <w:rsid w:val="0084367A"/>
    <w:rsid w:val="00843C14"/>
    <w:rsid w:val="0084509A"/>
    <w:rsid w:val="0084553E"/>
    <w:rsid w:val="008460EA"/>
    <w:rsid w:val="00846296"/>
    <w:rsid w:val="00850D55"/>
    <w:rsid w:val="008518B6"/>
    <w:rsid w:val="00852396"/>
    <w:rsid w:val="00854772"/>
    <w:rsid w:val="0085557E"/>
    <w:rsid w:val="00856A06"/>
    <w:rsid w:val="00860E5A"/>
    <w:rsid w:val="00862BB6"/>
    <w:rsid w:val="00865247"/>
    <w:rsid w:val="00870568"/>
    <w:rsid w:val="0087067E"/>
    <w:rsid w:val="00870727"/>
    <w:rsid w:val="008776D0"/>
    <w:rsid w:val="00877BB7"/>
    <w:rsid w:val="00880D4D"/>
    <w:rsid w:val="00881E2D"/>
    <w:rsid w:val="00884A40"/>
    <w:rsid w:val="00884ABF"/>
    <w:rsid w:val="0088517F"/>
    <w:rsid w:val="0088608E"/>
    <w:rsid w:val="00886CA4"/>
    <w:rsid w:val="00895029"/>
    <w:rsid w:val="00895C7C"/>
    <w:rsid w:val="008A0CDD"/>
    <w:rsid w:val="008A0D1F"/>
    <w:rsid w:val="008A0EC8"/>
    <w:rsid w:val="008A2276"/>
    <w:rsid w:val="008A29C8"/>
    <w:rsid w:val="008A2DBE"/>
    <w:rsid w:val="008A381C"/>
    <w:rsid w:val="008A475E"/>
    <w:rsid w:val="008A4AF8"/>
    <w:rsid w:val="008A583E"/>
    <w:rsid w:val="008A5B6B"/>
    <w:rsid w:val="008A7E71"/>
    <w:rsid w:val="008B007A"/>
    <w:rsid w:val="008B35A5"/>
    <w:rsid w:val="008B3600"/>
    <w:rsid w:val="008B4216"/>
    <w:rsid w:val="008B58DF"/>
    <w:rsid w:val="008C0FCB"/>
    <w:rsid w:val="008C115C"/>
    <w:rsid w:val="008C259F"/>
    <w:rsid w:val="008C7A4E"/>
    <w:rsid w:val="008C7B67"/>
    <w:rsid w:val="008D0DFB"/>
    <w:rsid w:val="008D1B5E"/>
    <w:rsid w:val="008D2326"/>
    <w:rsid w:val="008D251D"/>
    <w:rsid w:val="008D3DBB"/>
    <w:rsid w:val="008D544C"/>
    <w:rsid w:val="008D5F84"/>
    <w:rsid w:val="008E0201"/>
    <w:rsid w:val="008E5EE8"/>
    <w:rsid w:val="008E5F0E"/>
    <w:rsid w:val="008E6C96"/>
    <w:rsid w:val="008F2631"/>
    <w:rsid w:val="008F2B93"/>
    <w:rsid w:val="008F528A"/>
    <w:rsid w:val="008F7120"/>
    <w:rsid w:val="008F7159"/>
    <w:rsid w:val="00900404"/>
    <w:rsid w:val="00900BD8"/>
    <w:rsid w:val="00901056"/>
    <w:rsid w:val="0090290C"/>
    <w:rsid w:val="009045B4"/>
    <w:rsid w:val="00906EAD"/>
    <w:rsid w:val="00907759"/>
    <w:rsid w:val="00907862"/>
    <w:rsid w:val="0090792E"/>
    <w:rsid w:val="00907D99"/>
    <w:rsid w:val="00910249"/>
    <w:rsid w:val="00912F9F"/>
    <w:rsid w:val="00913B61"/>
    <w:rsid w:val="00916C68"/>
    <w:rsid w:val="0092043E"/>
    <w:rsid w:val="009207A4"/>
    <w:rsid w:val="00920E22"/>
    <w:rsid w:val="00921C43"/>
    <w:rsid w:val="00921F94"/>
    <w:rsid w:val="00923A95"/>
    <w:rsid w:val="00924AD1"/>
    <w:rsid w:val="00925601"/>
    <w:rsid w:val="00925CD6"/>
    <w:rsid w:val="009261AE"/>
    <w:rsid w:val="0092623B"/>
    <w:rsid w:val="00926997"/>
    <w:rsid w:val="00926B86"/>
    <w:rsid w:val="009276DC"/>
    <w:rsid w:val="009341A3"/>
    <w:rsid w:val="009343CC"/>
    <w:rsid w:val="00934512"/>
    <w:rsid w:val="00935656"/>
    <w:rsid w:val="0093618B"/>
    <w:rsid w:val="00936F79"/>
    <w:rsid w:val="009428D7"/>
    <w:rsid w:val="00942BDD"/>
    <w:rsid w:val="00944BA7"/>
    <w:rsid w:val="009454F9"/>
    <w:rsid w:val="0094653D"/>
    <w:rsid w:val="0094778B"/>
    <w:rsid w:val="009478F2"/>
    <w:rsid w:val="00950757"/>
    <w:rsid w:val="00950F26"/>
    <w:rsid w:val="00952965"/>
    <w:rsid w:val="00952B6F"/>
    <w:rsid w:val="00952EE7"/>
    <w:rsid w:val="009537AE"/>
    <w:rsid w:val="00953D84"/>
    <w:rsid w:val="00953DA7"/>
    <w:rsid w:val="00954499"/>
    <w:rsid w:val="00954EED"/>
    <w:rsid w:val="00955332"/>
    <w:rsid w:val="009556C6"/>
    <w:rsid w:val="00955893"/>
    <w:rsid w:val="00956335"/>
    <w:rsid w:val="00957CFA"/>
    <w:rsid w:val="009612CB"/>
    <w:rsid w:val="009615C7"/>
    <w:rsid w:val="00961AA2"/>
    <w:rsid w:val="00961AF3"/>
    <w:rsid w:val="00961D44"/>
    <w:rsid w:val="0096281C"/>
    <w:rsid w:val="00962DED"/>
    <w:rsid w:val="00963BF7"/>
    <w:rsid w:val="0096541F"/>
    <w:rsid w:val="00965882"/>
    <w:rsid w:val="00966A47"/>
    <w:rsid w:val="00966A97"/>
    <w:rsid w:val="00966E0D"/>
    <w:rsid w:val="00971C82"/>
    <w:rsid w:val="00971F2C"/>
    <w:rsid w:val="0097369D"/>
    <w:rsid w:val="0097690D"/>
    <w:rsid w:val="00977F16"/>
    <w:rsid w:val="00980FD0"/>
    <w:rsid w:val="00981211"/>
    <w:rsid w:val="00982B83"/>
    <w:rsid w:val="00983463"/>
    <w:rsid w:val="00984E19"/>
    <w:rsid w:val="0098566E"/>
    <w:rsid w:val="00985BCB"/>
    <w:rsid w:val="0098670A"/>
    <w:rsid w:val="00986740"/>
    <w:rsid w:val="00986B7C"/>
    <w:rsid w:val="00986D72"/>
    <w:rsid w:val="00987B0E"/>
    <w:rsid w:val="0099009F"/>
    <w:rsid w:val="0099216A"/>
    <w:rsid w:val="0099425A"/>
    <w:rsid w:val="00996942"/>
    <w:rsid w:val="009969AC"/>
    <w:rsid w:val="009A1019"/>
    <w:rsid w:val="009A2CC8"/>
    <w:rsid w:val="009A3982"/>
    <w:rsid w:val="009A3A62"/>
    <w:rsid w:val="009A3ED6"/>
    <w:rsid w:val="009A4715"/>
    <w:rsid w:val="009A4C7F"/>
    <w:rsid w:val="009A790B"/>
    <w:rsid w:val="009B2078"/>
    <w:rsid w:val="009B26B2"/>
    <w:rsid w:val="009B2C14"/>
    <w:rsid w:val="009B3884"/>
    <w:rsid w:val="009B41D2"/>
    <w:rsid w:val="009B4212"/>
    <w:rsid w:val="009B57E0"/>
    <w:rsid w:val="009B7C35"/>
    <w:rsid w:val="009C08FE"/>
    <w:rsid w:val="009C0B0B"/>
    <w:rsid w:val="009C0D03"/>
    <w:rsid w:val="009C3F7E"/>
    <w:rsid w:val="009C4AAE"/>
    <w:rsid w:val="009C4CD6"/>
    <w:rsid w:val="009C4DE8"/>
    <w:rsid w:val="009C6D89"/>
    <w:rsid w:val="009C7202"/>
    <w:rsid w:val="009C7626"/>
    <w:rsid w:val="009D0181"/>
    <w:rsid w:val="009D37B3"/>
    <w:rsid w:val="009D4119"/>
    <w:rsid w:val="009D4898"/>
    <w:rsid w:val="009D6533"/>
    <w:rsid w:val="009D6A3A"/>
    <w:rsid w:val="009D78E5"/>
    <w:rsid w:val="009E15ED"/>
    <w:rsid w:val="009E2853"/>
    <w:rsid w:val="009E4097"/>
    <w:rsid w:val="009E411C"/>
    <w:rsid w:val="009E5835"/>
    <w:rsid w:val="009E59D7"/>
    <w:rsid w:val="009E5B23"/>
    <w:rsid w:val="009E6C2A"/>
    <w:rsid w:val="009F02D5"/>
    <w:rsid w:val="009F0F8E"/>
    <w:rsid w:val="009F1F57"/>
    <w:rsid w:val="009F25A2"/>
    <w:rsid w:val="009F3FE1"/>
    <w:rsid w:val="009F53A5"/>
    <w:rsid w:val="009F6A88"/>
    <w:rsid w:val="009F7D62"/>
    <w:rsid w:val="00A01902"/>
    <w:rsid w:val="00A01C18"/>
    <w:rsid w:val="00A03267"/>
    <w:rsid w:val="00A04270"/>
    <w:rsid w:val="00A0427D"/>
    <w:rsid w:val="00A0463C"/>
    <w:rsid w:val="00A048B5"/>
    <w:rsid w:val="00A0506D"/>
    <w:rsid w:val="00A063D0"/>
    <w:rsid w:val="00A067E1"/>
    <w:rsid w:val="00A101E3"/>
    <w:rsid w:val="00A10943"/>
    <w:rsid w:val="00A13F97"/>
    <w:rsid w:val="00A15F89"/>
    <w:rsid w:val="00A16593"/>
    <w:rsid w:val="00A175AE"/>
    <w:rsid w:val="00A20AB5"/>
    <w:rsid w:val="00A21CE1"/>
    <w:rsid w:val="00A246A9"/>
    <w:rsid w:val="00A249E3"/>
    <w:rsid w:val="00A255F7"/>
    <w:rsid w:val="00A26292"/>
    <w:rsid w:val="00A26AB3"/>
    <w:rsid w:val="00A27125"/>
    <w:rsid w:val="00A27BEE"/>
    <w:rsid w:val="00A301C7"/>
    <w:rsid w:val="00A31DD5"/>
    <w:rsid w:val="00A32231"/>
    <w:rsid w:val="00A3345A"/>
    <w:rsid w:val="00A352A1"/>
    <w:rsid w:val="00A36248"/>
    <w:rsid w:val="00A375FB"/>
    <w:rsid w:val="00A41504"/>
    <w:rsid w:val="00A419E5"/>
    <w:rsid w:val="00A43096"/>
    <w:rsid w:val="00A45827"/>
    <w:rsid w:val="00A47A6A"/>
    <w:rsid w:val="00A50139"/>
    <w:rsid w:val="00A52F52"/>
    <w:rsid w:val="00A5644B"/>
    <w:rsid w:val="00A601E5"/>
    <w:rsid w:val="00A6202F"/>
    <w:rsid w:val="00A620DD"/>
    <w:rsid w:val="00A64BBA"/>
    <w:rsid w:val="00A659CC"/>
    <w:rsid w:val="00A67544"/>
    <w:rsid w:val="00A7031D"/>
    <w:rsid w:val="00A723EA"/>
    <w:rsid w:val="00A72F85"/>
    <w:rsid w:val="00A73353"/>
    <w:rsid w:val="00A73B6F"/>
    <w:rsid w:val="00A764BB"/>
    <w:rsid w:val="00A769B5"/>
    <w:rsid w:val="00A76E16"/>
    <w:rsid w:val="00A81138"/>
    <w:rsid w:val="00A81F79"/>
    <w:rsid w:val="00A824AE"/>
    <w:rsid w:val="00A82734"/>
    <w:rsid w:val="00A83D75"/>
    <w:rsid w:val="00A84042"/>
    <w:rsid w:val="00A84386"/>
    <w:rsid w:val="00A844D3"/>
    <w:rsid w:val="00A84AB9"/>
    <w:rsid w:val="00A86DBF"/>
    <w:rsid w:val="00A90182"/>
    <w:rsid w:val="00A903EA"/>
    <w:rsid w:val="00A91967"/>
    <w:rsid w:val="00A91F74"/>
    <w:rsid w:val="00A93209"/>
    <w:rsid w:val="00A93473"/>
    <w:rsid w:val="00A95196"/>
    <w:rsid w:val="00A95B6B"/>
    <w:rsid w:val="00A96A42"/>
    <w:rsid w:val="00AA062D"/>
    <w:rsid w:val="00AA0844"/>
    <w:rsid w:val="00AA1134"/>
    <w:rsid w:val="00AA329A"/>
    <w:rsid w:val="00AA33A0"/>
    <w:rsid w:val="00AA3A0A"/>
    <w:rsid w:val="00AA3CE7"/>
    <w:rsid w:val="00AA44BE"/>
    <w:rsid w:val="00AA7E18"/>
    <w:rsid w:val="00AB09A1"/>
    <w:rsid w:val="00AB1D9C"/>
    <w:rsid w:val="00AB3923"/>
    <w:rsid w:val="00AB3D14"/>
    <w:rsid w:val="00AB65AE"/>
    <w:rsid w:val="00AC1939"/>
    <w:rsid w:val="00AC1D21"/>
    <w:rsid w:val="00AC1D64"/>
    <w:rsid w:val="00AC3C4A"/>
    <w:rsid w:val="00AC5448"/>
    <w:rsid w:val="00AC54D8"/>
    <w:rsid w:val="00AC658C"/>
    <w:rsid w:val="00AC7BE3"/>
    <w:rsid w:val="00AD0067"/>
    <w:rsid w:val="00AD065B"/>
    <w:rsid w:val="00AD2547"/>
    <w:rsid w:val="00AD257D"/>
    <w:rsid w:val="00AD397F"/>
    <w:rsid w:val="00AD3E38"/>
    <w:rsid w:val="00AD4CCE"/>
    <w:rsid w:val="00AD57B5"/>
    <w:rsid w:val="00AE0A46"/>
    <w:rsid w:val="00AE1E07"/>
    <w:rsid w:val="00AE2549"/>
    <w:rsid w:val="00AE27C3"/>
    <w:rsid w:val="00AE2936"/>
    <w:rsid w:val="00AE2D7D"/>
    <w:rsid w:val="00AE3E8B"/>
    <w:rsid w:val="00AE4C6E"/>
    <w:rsid w:val="00AE7EE7"/>
    <w:rsid w:val="00AE7F08"/>
    <w:rsid w:val="00AF2353"/>
    <w:rsid w:val="00AF23E0"/>
    <w:rsid w:val="00AF29BA"/>
    <w:rsid w:val="00AF29CE"/>
    <w:rsid w:val="00AF7D69"/>
    <w:rsid w:val="00B0090E"/>
    <w:rsid w:val="00B00B62"/>
    <w:rsid w:val="00B0143C"/>
    <w:rsid w:val="00B01955"/>
    <w:rsid w:val="00B0313B"/>
    <w:rsid w:val="00B03923"/>
    <w:rsid w:val="00B06D85"/>
    <w:rsid w:val="00B112C7"/>
    <w:rsid w:val="00B116C3"/>
    <w:rsid w:val="00B1198E"/>
    <w:rsid w:val="00B20437"/>
    <w:rsid w:val="00B204A8"/>
    <w:rsid w:val="00B20A9E"/>
    <w:rsid w:val="00B21114"/>
    <w:rsid w:val="00B21310"/>
    <w:rsid w:val="00B21652"/>
    <w:rsid w:val="00B21C5D"/>
    <w:rsid w:val="00B2251C"/>
    <w:rsid w:val="00B227D4"/>
    <w:rsid w:val="00B23A45"/>
    <w:rsid w:val="00B23A73"/>
    <w:rsid w:val="00B23FF4"/>
    <w:rsid w:val="00B2540B"/>
    <w:rsid w:val="00B255D4"/>
    <w:rsid w:val="00B25AA6"/>
    <w:rsid w:val="00B276B6"/>
    <w:rsid w:val="00B278E7"/>
    <w:rsid w:val="00B27A24"/>
    <w:rsid w:val="00B30863"/>
    <w:rsid w:val="00B31555"/>
    <w:rsid w:val="00B323DB"/>
    <w:rsid w:val="00B32C0D"/>
    <w:rsid w:val="00B33B0E"/>
    <w:rsid w:val="00B3563B"/>
    <w:rsid w:val="00B361BB"/>
    <w:rsid w:val="00B368D9"/>
    <w:rsid w:val="00B37593"/>
    <w:rsid w:val="00B37C57"/>
    <w:rsid w:val="00B37D2D"/>
    <w:rsid w:val="00B4022D"/>
    <w:rsid w:val="00B404FE"/>
    <w:rsid w:val="00B41D6B"/>
    <w:rsid w:val="00B42270"/>
    <w:rsid w:val="00B44EEC"/>
    <w:rsid w:val="00B46E54"/>
    <w:rsid w:val="00B5166D"/>
    <w:rsid w:val="00B524E3"/>
    <w:rsid w:val="00B5336D"/>
    <w:rsid w:val="00B544D6"/>
    <w:rsid w:val="00B61804"/>
    <w:rsid w:val="00B6306F"/>
    <w:rsid w:val="00B65557"/>
    <w:rsid w:val="00B66B20"/>
    <w:rsid w:val="00B7051B"/>
    <w:rsid w:val="00B71C1F"/>
    <w:rsid w:val="00B720AD"/>
    <w:rsid w:val="00B73514"/>
    <w:rsid w:val="00B74B7A"/>
    <w:rsid w:val="00B754C4"/>
    <w:rsid w:val="00B76A3B"/>
    <w:rsid w:val="00B7740E"/>
    <w:rsid w:val="00B77F07"/>
    <w:rsid w:val="00B80807"/>
    <w:rsid w:val="00B8098B"/>
    <w:rsid w:val="00B8339E"/>
    <w:rsid w:val="00B839FC"/>
    <w:rsid w:val="00B842E4"/>
    <w:rsid w:val="00B859F1"/>
    <w:rsid w:val="00B85DA7"/>
    <w:rsid w:val="00B862CC"/>
    <w:rsid w:val="00B86630"/>
    <w:rsid w:val="00B87D3F"/>
    <w:rsid w:val="00B90D94"/>
    <w:rsid w:val="00B924D6"/>
    <w:rsid w:val="00B93FC3"/>
    <w:rsid w:val="00B9475D"/>
    <w:rsid w:val="00B9518F"/>
    <w:rsid w:val="00B95CFC"/>
    <w:rsid w:val="00B96881"/>
    <w:rsid w:val="00BA10C2"/>
    <w:rsid w:val="00BA6A0F"/>
    <w:rsid w:val="00BB0623"/>
    <w:rsid w:val="00BB204F"/>
    <w:rsid w:val="00BB2380"/>
    <w:rsid w:val="00BB388A"/>
    <w:rsid w:val="00BB41AF"/>
    <w:rsid w:val="00BB7F82"/>
    <w:rsid w:val="00BC005C"/>
    <w:rsid w:val="00BC1402"/>
    <w:rsid w:val="00BC1462"/>
    <w:rsid w:val="00BC2AB2"/>
    <w:rsid w:val="00BC4F68"/>
    <w:rsid w:val="00BC5E09"/>
    <w:rsid w:val="00BC66EB"/>
    <w:rsid w:val="00BC751E"/>
    <w:rsid w:val="00BC7646"/>
    <w:rsid w:val="00BD0295"/>
    <w:rsid w:val="00BD0ECA"/>
    <w:rsid w:val="00BD27C8"/>
    <w:rsid w:val="00BD2D7E"/>
    <w:rsid w:val="00BD310C"/>
    <w:rsid w:val="00BD3A23"/>
    <w:rsid w:val="00BD3B93"/>
    <w:rsid w:val="00BD3F31"/>
    <w:rsid w:val="00BD4FD3"/>
    <w:rsid w:val="00BD5AD5"/>
    <w:rsid w:val="00BD7DD5"/>
    <w:rsid w:val="00BE00AB"/>
    <w:rsid w:val="00BE060C"/>
    <w:rsid w:val="00BE0772"/>
    <w:rsid w:val="00BE10BF"/>
    <w:rsid w:val="00BE1EC1"/>
    <w:rsid w:val="00BE1FE7"/>
    <w:rsid w:val="00BE32ED"/>
    <w:rsid w:val="00BE3691"/>
    <w:rsid w:val="00BE4978"/>
    <w:rsid w:val="00BE4A3A"/>
    <w:rsid w:val="00BE4FDF"/>
    <w:rsid w:val="00BE56ED"/>
    <w:rsid w:val="00BE79B0"/>
    <w:rsid w:val="00BF0072"/>
    <w:rsid w:val="00BF0DDE"/>
    <w:rsid w:val="00BF24DC"/>
    <w:rsid w:val="00BF2C5A"/>
    <w:rsid w:val="00BF41DA"/>
    <w:rsid w:val="00BF4FB5"/>
    <w:rsid w:val="00BF5092"/>
    <w:rsid w:val="00BF5A45"/>
    <w:rsid w:val="00BF5C40"/>
    <w:rsid w:val="00BF6E03"/>
    <w:rsid w:val="00C0038C"/>
    <w:rsid w:val="00C00AA3"/>
    <w:rsid w:val="00C01E9C"/>
    <w:rsid w:val="00C01EFC"/>
    <w:rsid w:val="00C024D8"/>
    <w:rsid w:val="00C03AAB"/>
    <w:rsid w:val="00C06268"/>
    <w:rsid w:val="00C06EE9"/>
    <w:rsid w:val="00C079FF"/>
    <w:rsid w:val="00C10685"/>
    <w:rsid w:val="00C10926"/>
    <w:rsid w:val="00C10C48"/>
    <w:rsid w:val="00C114A2"/>
    <w:rsid w:val="00C11F66"/>
    <w:rsid w:val="00C120AC"/>
    <w:rsid w:val="00C15231"/>
    <w:rsid w:val="00C15555"/>
    <w:rsid w:val="00C242E8"/>
    <w:rsid w:val="00C25BA2"/>
    <w:rsid w:val="00C267AD"/>
    <w:rsid w:val="00C312FC"/>
    <w:rsid w:val="00C32725"/>
    <w:rsid w:val="00C329D4"/>
    <w:rsid w:val="00C342C2"/>
    <w:rsid w:val="00C34FE9"/>
    <w:rsid w:val="00C3585C"/>
    <w:rsid w:val="00C35D5A"/>
    <w:rsid w:val="00C35D67"/>
    <w:rsid w:val="00C36B60"/>
    <w:rsid w:val="00C405A7"/>
    <w:rsid w:val="00C41223"/>
    <w:rsid w:val="00C433E8"/>
    <w:rsid w:val="00C44C70"/>
    <w:rsid w:val="00C45174"/>
    <w:rsid w:val="00C451DC"/>
    <w:rsid w:val="00C45B44"/>
    <w:rsid w:val="00C46966"/>
    <w:rsid w:val="00C479DB"/>
    <w:rsid w:val="00C502AF"/>
    <w:rsid w:val="00C52107"/>
    <w:rsid w:val="00C5361F"/>
    <w:rsid w:val="00C55A43"/>
    <w:rsid w:val="00C60E74"/>
    <w:rsid w:val="00C65630"/>
    <w:rsid w:val="00C708F8"/>
    <w:rsid w:val="00C72CE4"/>
    <w:rsid w:val="00C72EFF"/>
    <w:rsid w:val="00C73BD5"/>
    <w:rsid w:val="00C7566F"/>
    <w:rsid w:val="00C76AE3"/>
    <w:rsid w:val="00C77CA7"/>
    <w:rsid w:val="00C77D41"/>
    <w:rsid w:val="00C8101F"/>
    <w:rsid w:val="00C81E26"/>
    <w:rsid w:val="00C82637"/>
    <w:rsid w:val="00C82765"/>
    <w:rsid w:val="00C8304B"/>
    <w:rsid w:val="00C83466"/>
    <w:rsid w:val="00C85403"/>
    <w:rsid w:val="00C85E95"/>
    <w:rsid w:val="00C861CA"/>
    <w:rsid w:val="00C87726"/>
    <w:rsid w:val="00C90AAC"/>
    <w:rsid w:val="00C91920"/>
    <w:rsid w:val="00C928F5"/>
    <w:rsid w:val="00C92F34"/>
    <w:rsid w:val="00C937F0"/>
    <w:rsid w:val="00C946E0"/>
    <w:rsid w:val="00C94905"/>
    <w:rsid w:val="00C94DFC"/>
    <w:rsid w:val="00C953C8"/>
    <w:rsid w:val="00CA13E6"/>
    <w:rsid w:val="00CA2396"/>
    <w:rsid w:val="00CA2560"/>
    <w:rsid w:val="00CA2F34"/>
    <w:rsid w:val="00CA355C"/>
    <w:rsid w:val="00CA7F88"/>
    <w:rsid w:val="00CB0928"/>
    <w:rsid w:val="00CB1710"/>
    <w:rsid w:val="00CB174C"/>
    <w:rsid w:val="00CB28B3"/>
    <w:rsid w:val="00CB2D8D"/>
    <w:rsid w:val="00CB3E49"/>
    <w:rsid w:val="00CB3F9F"/>
    <w:rsid w:val="00CB40E0"/>
    <w:rsid w:val="00CB5002"/>
    <w:rsid w:val="00CB51DA"/>
    <w:rsid w:val="00CB5BC9"/>
    <w:rsid w:val="00CB6149"/>
    <w:rsid w:val="00CB6A39"/>
    <w:rsid w:val="00CC13D2"/>
    <w:rsid w:val="00CC2A6E"/>
    <w:rsid w:val="00CC4287"/>
    <w:rsid w:val="00CC4451"/>
    <w:rsid w:val="00CC4E70"/>
    <w:rsid w:val="00CC7F18"/>
    <w:rsid w:val="00CD012C"/>
    <w:rsid w:val="00CD157A"/>
    <w:rsid w:val="00CD15F0"/>
    <w:rsid w:val="00CD4109"/>
    <w:rsid w:val="00CD5771"/>
    <w:rsid w:val="00CD5FFC"/>
    <w:rsid w:val="00CD6D63"/>
    <w:rsid w:val="00CD74B5"/>
    <w:rsid w:val="00CE276D"/>
    <w:rsid w:val="00CE451B"/>
    <w:rsid w:val="00CE512B"/>
    <w:rsid w:val="00CE606A"/>
    <w:rsid w:val="00CE6AAD"/>
    <w:rsid w:val="00CE6D88"/>
    <w:rsid w:val="00CE7CC4"/>
    <w:rsid w:val="00CF070D"/>
    <w:rsid w:val="00CF0D8A"/>
    <w:rsid w:val="00CF13F6"/>
    <w:rsid w:val="00CF26C6"/>
    <w:rsid w:val="00CF2807"/>
    <w:rsid w:val="00CF2FDE"/>
    <w:rsid w:val="00CF327E"/>
    <w:rsid w:val="00CF33BB"/>
    <w:rsid w:val="00CF5091"/>
    <w:rsid w:val="00CF5443"/>
    <w:rsid w:val="00CF5676"/>
    <w:rsid w:val="00CF6DD7"/>
    <w:rsid w:val="00CF7C44"/>
    <w:rsid w:val="00D00B11"/>
    <w:rsid w:val="00D00EE8"/>
    <w:rsid w:val="00D01998"/>
    <w:rsid w:val="00D06601"/>
    <w:rsid w:val="00D076A4"/>
    <w:rsid w:val="00D103C2"/>
    <w:rsid w:val="00D11C5A"/>
    <w:rsid w:val="00D12423"/>
    <w:rsid w:val="00D1282F"/>
    <w:rsid w:val="00D13508"/>
    <w:rsid w:val="00D13AC5"/>
    <w:rsid w:val="00D14506"/>
    <w:rsid w:val="00D1556E"/>
    <w:rsid w:val="00D16D15"/>
    <w:rsid w:val="00D204A6"/>
    <w:rsid w:val="00D20847"/>
    <w:rsid w:val="00D219DF"/>
    <w:rsid w:val="00D21AC9"/>
    <w:rsid w:val="00D21EC3"/>
    <w:rsid w:val="00D226D6"/>
    <w:rsid w:val="00D22DCB"/>
    <w:rsid w:val="00D22FA9"/>
    <w:rsid w:val="00D2395F"/>
    <w:rsid w:val="00D239E7"/>
    <w:rsid w:val="00D24910"/>
    <w:rsid w:val="00D24A96"/>
    <w:rsid w:val="00D24E71"/>
    <w:rsid w:val="00D2621F"/>
    <w:rsid w:val="00D26A16"/>
    <w:rsid w:val="00D27602"/>
    <w:rsid w:val="00D31995"/>
    <w:rsid w:val="00D34969"/>
    <w:rsid w:val="00D35433"/>
    <w:rsid w:val="00D359E1"/>
    <w:rsid w:val="00D36BCE"/>
    <w:rsid w:val="00D418D5"/>
    <w:rsid w:val="00D434D3"/>
    <w:rsid w:val="00D438F7"/>
    <w:rsid w:val="00D43F1D"/>
    <w:rsid w:val="00D45833"/>
    <w:rsid w:val="00D45AFF"/>
    <w:rsid w:val="00D46506"/>
    <w:rsid w:val="00D47B40"/>
    <w:rsid w:val="00D5023C"/>
    <w:rsid w:val="00D50684"/>
    <w:rsid w:val="00D51987"/>
    <w:rsid w:val="00D520A3"/>
    <w:rsid w:val="00D531CD"/>
    <w:rsid w:val="00D5381B"/>
    <w:rsid w:val="00D55C41"/>
    <w:rsid w:val="00D576EA"/>
    <w:rsid w:val="00D624C0"/>
    <w:rsid w:val="00D63B70"/>
    <w:rsid w:val="00D64D49"/>
    <w:rsid w:val="00D64F44"/>
    <w:rsid w:val="00D662D0"/>
    <w:rsid w:val="00D664D8"/>
    <w:rsid w:val="00D66E8E"/>
    <w:rsid w:val="00D677B7"/>
    <w:rsid w:val="00D71074"/>
    <w:rsid w:val="00D73F2A"/>
    <w:rsid w:val="00D74374"/>
    <w:rsid w:val="00D74746"/>
    <w:rsid w:val="00D748CF"/>
    <w:rsid w:val="00D74CE7"/>
    <w:rsid w:val="00D7640E"/>
    <w:rsid w:val="00D766FD"/>
    <w:rsid w:val="00D76F14"/>
    <w:rsid w:val="00D77111"/>
    <w:rsid w:val="00D77408"/>
    <w:rsid w:val="00D77BF6"/>
    <w:rsid w:val="00D8081A"/>
    <w:rsid w:val="00D810C3"/>
    <w:rsid w:val="00D812EA"/>
    <w:rsid w:val="00D81809"/>
    <w:rsid w:val="00D81BE8"/>
    <w:rsid w:val="00D86A07"/>
    <w:rsid w:val="00D871F7"/>
    <w:rsid w:val="00D879AD"/>
    <w:rsid w:val="00D90928"/>
    <w:rsid w:val="00D930E0"/>
    <w:rsid w:val="00D93E15"/>
    <w:rsid w:val="00D94926"/>
    <w:rsid w:val="00D94A1E"/>
    <w:rsid w:val="00D954A3"/>
    <w:rsid w:val="00D95676"/>
    <w:rsid w:val="00D95DCA"/>
    <w:rsid w:val="00D95EFC"/>
    <w:rsid w:val="00DA26F9"/>
    <w:rsid w:val="00DA31C9"/>
    <w:rsid w:val="00DA3242"/>
    <w:rsid w:val="00DA3A87"/>
    <w:rsid w:val="00DA4514"/>
    <w:rsid w:val="00DA4D85"/>
    <w:rsid w:val="00DA4DEE"/>
    <w:rsid w:val="00DA53E2"/>
    <w:rsid w:val="00DA55FA"/>
    <w:rsid w:val="00DA5F3F"/>
    <w:rsid w:val="00DA614E"/>
    <w:rsid w:val="00DB2BB9"/>
    <w:rsid w:val="00DB3BE4"/>
    <w:rsid w:val="00DB430B"/>
    <w:rsid w:val="00DB4AE5"/>
    <w:rsid w:val="00DB7853"/>
    <w:rsid w:val="00DC0947"/>
    <w:rsid w:val="00DC0C3C"/>
    <w:rsid w:val="00DC18DD"/>
    <w:rsid w:val="00DC3796"/>
    <w:rsid w:val="00DC4012"/>
    <w:rsid w:val="00DC5802"/>
    <w:rsid w:val="00DC5FDC"/>
    <w:rsid w:val="00DC6EC1"/>
    <w:rsid w:val="00DC7E74"/>
    <w:rsid w:val="00DD0660"/>
    <w:rsid w:val="00DD21F0"/>
    <w:rsid w:val="00DD2299"/>
    <w:rsid w:val="00DD25A5"/>
    <w:rsid w:val="00DD2CB6"/>
    <w:rsid w:val="00DD363B"/>
    <w:rsid w:val="00DD3894"/>
    <w:rsid w:val="00DD3E30"/>
    <w:rsid w:val="00DD4488"/>
    <w:rsid w:val="00DD568D"/>
    <w:rsid w:val="00DD7876"/>
    <w:rsid w:val="00DD7C3F"/>
    <w:rsid w:val="00DE0E2A"/>
    <w:rsid w:val="00DE2187"/>
    <w:rsid w:val="00DE4F7C"/>
    <w:rsid w:val="00DE4FEB"/>
    <w:rsid w:val="00DE6467"/>
    <w:rsid w:val="00DE64DC"/>
    <w:rsid w:val="00DE6C50"/>
    <w:rsid w:val="00DE7682"/>
    <w:rsid w:val="00DE7741"/>
    <w:rsid w:val="00DE7E91"/>
    <w:rsid w:val="00DF008A"/>
    <w:rsid w:val="00DF2AB8"/>
    <w:rsid w:val="00DF2F1A"/>
    <w:rsid w:val="00DF2F84"/>
    <w:rsid w:val="00DF3717"/>
    <w:rsid w:val="00DF4957"/>
    <w:rsid w:val="00DF75D4"/>
    <w:rsid w:val="00E00B90"/>
    <w:rsid w:val="00E00FFB"/>
    <w:rsid w:val="00E01652"/>
    <w:rsid w:val="00E062AD"/>
    <w:rsid w:val="00E1062A"/>
    <w:rsid w:val="00E11CAB"/>
    <w:rsid w:val="00E12670"/>
    <w:rsid w:val="00E12CDB"/>
    <w:rsid w:val="00E13796"/>
    <w:rsid w:val="00E13C85"/>
    <w:rsid w:val="00E140DB"/>
    <w:rsid w:val="00E15472"/>
    <w:rsid w:val="00E15F8F"/>
    <w:rsid w:val="00E16E79"/>
    <w:rsid w:val="00E16F85"/>
    <w:rsid w:val="00E20039"/>
    <w:rsid w:val="00E200E1"/>
    <w:rsid w:val="00E20188"/>
    <w:rsid w:val="00E202A1"/>
    <w:rsid w:val="00E21218"/>
    <w:rsid w:val="00E24640"/>
    <w:rsid w:val="00E24732"/>
    <w:rsid w:val="00E2473B"/>
    <w:rsid w:val="00E24E2F"/>
    <w:rsid w:val="00E25A21"/>
    <w:rsid w:val="00E26B2F"/>
    <w:rsid w:val="00E302B0"/>
    <w:rsid w:val="00E309FF"/>
    <w:rsid w:val="00E31932"/>
    <w:rsid w:val="00E31B97"/>
    <w:rsid w:val="00E31C1B"/>
    <w:rsid w:val="00E31DF3"/>
    <w:rsid w:val="00E32602"/>
    <w:rsid w:val="00E3280F"/>
    <w:rsid w:val="00E33ADC"/>
    <w:rsid w:val="00E34149"/>
    <w:rsid w:val="00E352C6"/>
    <w:rsid w:val="00E361F7"/>
    <w:rsid w:val="00E36939"/>
    <w:rsid w:val="00E37017"/>
    <w:rsid w:val="00E401CD"/>
    <w:rsid w:val="00E405C7"/>
    <w:rsid w:val="00E4069F"/>
    <w:rsid w:val="00E4109F"/>
    <w:rsid w:val="00E421E8"/>
    <w:rsid w:val="00E42E97"/>
    <w:rsid w:val="00E43C47"/>
    <w:rsid w:val="00E43F1B"/>
    <w:rsid w:val="00E4548E"/>
    <w:rsid w:val="00E47588"/>
    <w:rsid w:val="00E47BC3"/>
    <w:rsid w:val="00E50A10"/>
    <w:rsid w:val="00E51C8F"/>
    <w:rsid w:val="00E531E8"/>
    <w:rsid w:val="00E60BC8"/>
    <w:rsid w:val="00E63317"/>
    <w:rsid w:val="00E644C3"/>
    <w:rsid w:val="00E64691"/>
    <w:rsid w:val="00E646B9"/>
    <w:rsid w:val="00E64E60"/>
    <w:rsid w:val="00E66508"/>
    <w:rsid w:val="00E678B6"/>
    <w:rsid w:val="00E70D67"/>
    <w:rsid w:val="00E7197D"/>
    <w:rsid w:val="00E75929"/>
    <w:rsid w:val="00E75F47"/>
    <w:rsid w:val="00E76407"/>
    <w:rsid w:val="00E77DD3"/>
    <w:rsid w:val="00E80CAD"/>
    <w:rsid w:val="00E83907"/>
    <w:rsid w:val="00E84783"/>
    <w:rsid w:val="00E86C77"/>
    <w:rsid w:val="00E870E0"/>
    <w:rsid w:val="00E8764F"/>
    <w:rsid w:val="00E90D07"/>
    <w:rsid w:val="00E9435F"/>
    <w:rsid w:val="00E954BF"/>
    <w:rsid w:val="00E95710"/>
    <w:rsid w:val="00E957BA"/>
    <w:rsid w:val="00E96121"/>
    <w:rsid w:val="00E9622D"/>
    <w:rsid w:val="00E96960"/>
    <w:rsid w:val="00E97400"/>
    <w:rsid w:val="00E974E6"/>
    <w:rsid w:val="00E97DAD"/>
    <w:rsid w:val="00EA0B55"/>
    <w:rsid w:val="00EA0C8B"/>
    <w:rsid w:val="00EA12B6"/>
    <w:rsid w:val="00EA2373"/>
    <w:rsid w:val="00EA29A3"/>
    <w:rsid w:val="00EA2B62"/>
    <w:rsid w:val="00EA2B8A"/>
    <w:rsid w:val="00EA566E"/>
    <w:rsid w:val="00EA5911"/>
    <w:rsid w:val="00EA6F56"/>
    <w:rsid w:val="00EA74D6"/>
    <w:rsid w:val="00EA76F9"/>
    <w:rsid w:val="00EA7BE2"/>
    <w:rsid w:val="00EB106E"/>
    <w:rsid w:val="00EB1B58"/>
    <w:rsid w:val="00EB27B7"/>
    <w:rsid w:val="00EB2A4D"/>
    <w:rsid w:val="00EB2BFD"/>
    <w:rsid w:val="00EB3012"/>
    <w:rsid w:val="00EB3396"/>
    <w:rsid w:val="00EB46DD"/>
    <w:rsid w:val="00EB4A2A"/>
    <w:rsid w:val="00EB4C21"/>
    <w:rsid w:val="00EB4EEA"/>
    <w:rsid w:val="00EB5A16"/>
    <w:rsid w:val="00EB5DC2"/>
    <w:rsid w:val="00EB61C4"/>
    <w:rsid w:val="00EC0F17"/>
    <w:rsid w:val="00EC38EC"/>
    <w:rsid w:val="00EC3A70"/>
    <w:rsid w:val="00EC3C51"/>
    <w:rsid w:val="00EC41BB"/>
    <w:rsid w:val="00EC6E75"/>
    <w:rsid w:val="00ED0CAA"/>
    <w:rsid w:val="00ED1B91"/>
    <w:rsid w:val="00ED1C83"/>
    <w:rsid w:val="00ED20F2"/>
    <w:rsid w:val="00ED2A25"/>
    <w:rsid w:val="00ED3B44"/>
    <w:rsid w:val="00ED4113"/>
    <w:rsid w:val="00ED4121"/>
    <w:rsid w:val="00ED55B0"/>
    <w:rsid w:val="00ED7203"/>
    <w:rsid w:val="00ED77EF"/>
    <w:rsid w:val="00ED7805"/>
    <w:rsid w:val="00EE0F73"/>
    <w:rsid w:val="00EE1299"/>
    <w:rsid w:val="00EE1700"/>
    <w:rsid w:val="00EE1860"/>
    <w:rsid w:val="00EE1CF2"/>
    <w:rsid w:val="00EE227F"/>
    <w:rsid w:val="00EE2F7F"/>
    <w:rsid w:val="00EF0227"/>
    <w:rsid w:val="00EF0456"/>
    <w:rsid w:val="00EF2C45"/>
    <w:rsid w:val="00EF303D"/>
    <w:rsid w:val="00EF3D9F"/>
    <w:rsid w:val="00EF3E4E"/>
    <w:rsid w:val="00EF40FA"/>
    <w:rsid w:val="00EF475E"/>
    <w:rsid w:val="00EF4D2E"/>
    <w:rsid w:val="00EF6B48"/>
    <w:rsid w:val="00EF748D"/>
    <w:rsid w:val="00F0014F"/>
    <w:rsid w:val="00F020CE"/>
    <w:rsid w:val="00F03C6E"/>
    <w:rsid w:val="00F049CE"/>
    <w:rsid w:val="00F058B4"/>
    <w:rsid w:val="00F06A78"/>
    <w:rsid w:val="00F07270"/>
    <w:rsid w:val="00F114CD"/>
    <w:rsid w:val="00F1286B"/>
    <w:rsid w:val="00F12E29"/>
    <w:rsid w:val="00F13472"/>
    <w:rsid w:val="00F13963"/>
    <w:rsid w:val="00F13999"/>
    <w:rsid w:val="00F13BAB"/>
    <w:rsid w:val="00F1403C"/>
    <w:rsid w:val="00F15A80"/>
    <w:rsid w:val="00F22014"/>
    <w:rsid w:val="00F22C9F"/>
    <w:rsid w:val="00F2396E"/>
    <w:rsid w:val="00F25338"/>
    <w:rsid w:val="00F27F44"/>
    <w:rsid w:val="00F30148"/>
    <w:rsid w:val="00F3286E"/>
    <w:rsid w:val="00F32EB2"/>
    <w:rsid w:val="00F33824"/>
    <w:rsid w:val="00F341F6"/>
    <w:rsid w:val="00F34C94"/>
    <w:rsid w:val="00F35823"/>
    <w:rsid w:val="00F37D42"/>
    <w:rsid w:val="00F40AB1"/>
    <w:rsid w:val="00F40DA6"/>
    <w:rsid w:val="00F415E7"/>
    <w:rsid w:val="00F440CF"/>
    <w:rsid w:val="00F44562"/>
    <w:rsid w:val="00F4544D"/>
    <w:rsid w:val="00F4628E"/>
    <w:rsid w:val="00F47E8C"/>
    <w:rsid w:val="00F50E48"/>
    <w:rsid w:val="00F524FE"/>
    <w:rsid w:val="00F5262B"/>
    <w:rsid w:val="00F528D3"/>
    <w:rsid w:val="00F52F1C"/>
    <w:rsid w:val="00F54764"/>
    <w:rsid w:val="00F57D27"/>
    <w:rsid w:val="00F604C2"/>
    <w:rsid w:val="00F60907"/>
    <w:rsid w:val="00F610C5"/>
    <w:rsid w:val="00F61C67"/>
    <w:rsid w:val="00F628EC"/>
    <w:rsid w:val="00F63BAD"/>
    <w:rsid w:val="00F647BA"/>
    <w:rsid w:val="00F64C0B"/>
    <w:rsid w:val="00F65136"/>
    <w:rsid w:val="00F66D91"/>
    <w:rsid w:val="00F67A52"/>
    <w:rsid w:val="00F708B2"/>
    <w:rsid w:val="00F709C3"/>
    <w:rsid w:val="00F71BCA"/>
    <w:rsid w:val="00F72FB9"/>
    <w:rsid w:val="00F74CBB"/>
    <w:rsid w:val="00F754E2"/>
    <w:rsid w:val="00F75C2F"/>
    <w:rsid w:val="00F77559"/>
    <w:rsid w:val="00F77E74"/>
    <w:rsid w:val="00F82E84"/>
    <w:rsid w:val="00F83FDE"/>
    <w:rsid w:val="00F84435"/>
    <w:rsid w:val="00F848C5"/>
    <w:rsid w:val="00F84B55"/>
    <w:rsid w:val="00F8535E"/>
    <w:rsid w:val="00F85DBF"/>
    <w:rsid w:val="00F86B3E"/>
    <w:rsid w:val="00F87F1A"/>
    <w:rsid w:val="00F90DB7"/>
    <w:rsid w:val="00F913BD"/>
    <w:rsid w:val="00F927EF"/>
    <w:rsid w:val="00F932DC"/>
    <w:rsid w:val="00F94F04"/>
    <w:rsid w:val="00F94F14"/>
    <w:rsid w:val="00F9534F"/>
    <w:rsid w:val="00F95FF6"/>
    <w:rsid w:val="00F96C7D"/>
    <w:rsid w:val="00FA0E11"/>
    <w:rsid w:val="00FA1205"/>
    <w:rsid w:val="00FA20C5"/>
    <w:rsid w:val="00FA32E3"/>
    <w:rsid w:val="00FA4A86"/>
    <w:rsid w:val="00FA6503"/>
    <w:rsid w:val="00FA7884"/>
    <w:rsid w:val="00FB13DB"/>
    <w:rsid w:val="00FB1650"/>
    <w:rsid w:val="00FB2034"/>
    <w:rsid w:val="00FB27EB"/>
    <w:rsid w:val="00FB3BB0"/>
    <w:rsid w:val="00FB5347"/>
    <w:rsid w:val="00FB68DD"/>
    <w:rsid w:val="00FB7A48"/>
    <w:rsid w:val="00FB7B1C"/>
    <w:rsid w:val="00FB7B67"/>
    <w:rsid w:val="00FB7F4F"/>
    <w:rsid w:val="00FC014F"/>
    <w:rsid w:val="00FC06DD"/>
    <w:rsid w:val="00FC0DF4"/>
    <w:rsid w:val="00FC1F16"/>
    <w:rsid w:val="00FC2810"/>
    <w:rsid w:val="00FC2B41"/>
    <w:rsid w:val="00FC4AC2"/>
    <w:rsid w:val="00FC5FA4"/>
    <w:rsid w:val="00FC6337"/>
    <w:rsid w:val="00FD08AE"/>
    <w:rsid w:val="00FD151F"/>
    <w:rsid w:val="00FD2D65"/>
    <w:rsid w:val="00FD43E2"/>
    <w:rsid w:val="00FD520D"/>
    <w:rsid w:val="00FD5FD8"/>
    <w:rsid w:val="00FD5FFF"/>
    <w:rsid w:val="00FD6114"/>
    <w:rsid w:val="00FD74C1"/>
    <w:rsid w:val="00FE0F61"/>
    <w:rsid w:val="00FE13D9"/>
    <w:rsid w:val="00FE1AF1"/>
    <w:rsid w:val="00FE2BF6"/>
    <w:rsid w:val="00FE33DA"/>
    <w:rsid w:val="00FE67A8"/>
    <w:rsid w:val="00FE72CF"/>
    <w:rsid w:val="00FE792D"/>
    <w:rsid w:val="00FF35E5"/>
    <w:rsid w:val="00FF4BF2"/>
    <w:rsid w:val="00FF4C7F"/>
    <w:rsid w:val="041A21B4"/>
    <w:rsid w:val="076B215C"/>
    <w:rsid w:val="09D12E33"/>
    <w:rsid w:val="0AC14A0F"/>
    <w:rsid w:val="0E143454"/>
    <w:rsid w:val="10735BB2"/>
    <w:rsid w:val="13725690"/>
    <w:rsid w:val="19AC288E"/>
    <w:rsid w:val="1A2E2B3B"/>
    <w:rsid w:val="1B773272"/>
    <w:rsid w:val="1C532514"/>
    <w:rsid w:val="1D0443D5"/>
    <w:rsid w:val="1FB41232"/>
    <w:rsid w:val="1FF07FD1"/>
    <w:rsid w:val="20992280"/>
    <w:rsid w:val="228B6BE1"/>
    <w:rsid w:val="260D6E8A"/>
    <w:rsid w:val="27403F5B"/>
    <w:rsid w:val="30C22DC9"/>
    <w:rsid w:val="363312F2"/>
    <w:rsid w:val="3CE02D2D"/>
    <w:rsid w:val="3F93396B"/>
    <w:rsid w:val="3FE23B9B"/>
    <w:rsid w:val="463721DC"/>
    <w:rsid w:val="491855FF"/>
    <w:rsid w:val="4B2E7C7A"/>
    <w:rsid w:val="51D21622"/>
    <w:rsid w:val="54B31838"/>
    <w:rsid w:val="56424DF5"/>
    <w:rsid w:val="59083787"/>
    <w:rsid w:val="5EC310BA"/>
    <w:rsid w:val="62D929B6"/>
    <w:rsid w:val="64D000F4"/>
    <w:rsid w:val="65390A7E"/>
    <w:rsid w:val="6BAD405F"/>
    <w:rsid w:val="6D2F387A"/>
    <w:rsid w:val="71CB7B44"/>
    <w:rsid w:val="73066BF5"/>
    <w:rsid w:val="74305DA9"/>
    <w:rsid w:val="771426C3"/>
    <w:rsid w:val="790359EA"/>
    <w:rsid w:val="7B604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FB73A2"/>
  <w15:docId w15:val="{6E124E5C-D3F0-48DC-B783-A144DF092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unhideWhenUsed="1"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link w:val="a6"/>
    <w:qFormat/>
    <w:pPr>
      <w:jc w:val="left"/>
    </w:pPr>
  </w:style>
  <w:style w:type="paragraph" w:styleId="TOC7">
    <w:name w:val="toc 7"/>
    <w:basedOn w:val="a"/>
    <w:next w:val="a"/>
    <w:semiHidden/>
    <w:qFormat/>
    <w:pPr>
      <w:ind w:leftChars="1200" w:left="2520"/>
    </w:pPr>
  </w:style>
  <w:style w:type="paragraph" w:styleId="a7">
    <w:name w:val="Document Map"/>
    <w:basedOn w:val="a"/>
    <w:semiHidden/>
    <w:qFormat/>
    <w:pPr>
      <w:shd w:val="clear" w:color="auto" w:fill="000080"/>
    </w:pPr>
  </w:style>
  <w:style w:type="paragraph" w:styleId="a8">
    <w:name w:val="Body Text"/>
    <w:basedOn w:val="a"/>
    <w:link w:val="a9"/>
    <w:qFormat/>
    <w:pPr>
      <w:spacing w:line="360" w:lineRule="auto"/>
    </w:pPr>
    <w:rPr>
      <w:rFonts w:ascii="仿宋_GB2312" w:eastAsia="仿宋_GB2312"/>
      <w:color w:val="000000"/>
      <w:kern w:val="0"/>
      <w:sz w:val="24"/>
      <w:szCs w:val="28"/>
    </w:rPr>
  </w:style>
  <w:style w:type="paragraph" w:styleId="aa">
    <w:name w:val="Body Text Indent"/>
    <w:basedOn w:val="a"/>
    <w:qFormat/>
    <w:pPr>
      <w:adjustRightInd w:val="0"/>
      <w:snapToGrid w:val="0"/>
      <w:spacing w:line="560" w:lineRule="exact"/>
      <w:ind w:firstLineChars="200" w:firstLine="480"/>
    </w:pPr>
    <w:rPr>
      <w:rFonts w:eastAsia="方正仿宋简体"/>
      <w:sz w:val="24"/>
      <w:szCs w:val="30"/>
    </w:rPr>
  </w:style>
  <w:style w:type="paragraph" w:styleId="TOC5">
    <w:name w:val="toc 5"/>
    <w:basedOn w:val="a"/>
    <w:next w:val="a"/>
    <w:semiHidden/>
    <w:qFormat/>
    <w:pPr>
      <w:ind w:leftChars="800" w:left="1680"/>
    </w:pPr>
  </w:style>
  <w:style w:type="paragraph" w:styleId="TOC3">
    <w:name w:val="toc 3"/>
    <w:basedOn w:val="a"/>
    <w:next w:val="a"/>
    <w:semiHidden/>
    <w:qFormat/>
    <w:pPr>
      <w:ind w:leftChars="400" w:left="840"/>
    </w:pPr>
  </w:style>
  <w:style w:type="paragraph" w:styleId="ab">
    <w:name w:val="Plain Text"/>
    <w:basedOn w:val="a"/>
    <w:link w:val="ac"/>
    <w:qFormat/>
    <w:rPr>
      <w:rFonts w:ascii="宋体" w:hAnsi="Courier New"/>
      <w:szCs w:val="20"/>
    </w:rPr>
  </w:style>
  <w:style w:type="paragraph" w:styleId="TOC8">
    <w:name w:val="toc 8"/>
    <w:basedOn w:val="a"/>
    <w:next w:val="a"/>
    <w:semiHidden/>
    <w:qFormat/>
    <w:pPr>
      <w:ind w:leftChars="1400" w:left="2940"/>
    </w:pPr>
  </w:style>
  <w:style w:type="paragraph" w:styleId="20">
    <w:name w:val="Body Text Indent 2"/>
    <w:basedOn w:val="a"/>
    <w:qFormat/>
    <w:pPr>
      <w:spacing w:line="360" w:lineRule="auto"/>
      <w:ind w:firstLine="525"/>
    </w:pPr>
    <w:rPr>
      <w:rFonts w:ascii="宋体" w:hAnsi="宋体"/>
      <w:sz w:val="28"/>
      <w:szCs w:val="20"/>
    </w:rPr>
  </w:style>
  <w:style w:type="paragraph" w:styleId="ad">
    <w:name w:val="Balloon Text"/>
    <w:basedOn w:val="a"/>
    <w:semiHidden/>
    <w:qFormat/>
    <w:rPr>
      <w:sz w:val="18"/>
      <w:szCs w:val="18"/>
    </w:rPr>
  </w:style>
  <w:style w:type="paragraph" w:styleId="ae">
    <w:name w:val="footer"/>
    <w:basedOn w:val="a"/>
    <w:link w:val="af"/>
    <w:uiPriority w:val="99"/>
    <w:qFormat/>
    <w:pPr>
      <w:tabs>
        <w:tab w:val="center" w:pos="4153"/>
        <w:tab w:val="right" w:pos="8306"/>
      </w:tabs>
      <w:snapToGrid w:val="0"/>
      <w:jc w:val="left"/>
    </w:pPr>
    <w:rPr>
      <w:sz w:val="18"/>
      <w:szCs w:val="18"/>
    </w:rPr>
  </w:style>
  <w:style w:type="paragraph" w:styleId="af0">
    <w:name w:val="header"/>
    <w:basedOn w:val="a"/>
    <w:link w:val="af1"/>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494"/>
      </w:tabs>
      <w:ind w:firstLineChars="200" w:firstLine="420"/>
    </w:pPr>
  </w:style>
  <w:style w:type="paragraph" w:styleId="TOC4">
    <w:name w:val="toc 4"/>
    <w:basedOn w:val="a"/>
    <w:next w:val="a"/>
    <w:semiHidden/>
    <w:qFormat/>
    <w:pPr>
      <w:ind w:leftChars="600" w:left="1260"/>
    </w:pPr>
  </w:style>
  <w:style w:type="paragraph" w:styleId="TOC6">
    <w:name w:val="toc 6"/>
    <w:basedOn w:val="a"/>
    <w:next w:val="a"/>
    <w:semiHidden/>
    <w:qFormat/>
    <w:pPr>
      <w:ind w:leftChars="1000" w:left="2100"/>
    </w:pPr>
  </w:style>
  <w:style w:type="paragraph" w:styleId="3">
    <w:name w:val="Body Text Indent 3"/>
    <w:basedOn w:val="a"/>
    <w:qFormat/>
    <w:pPr>
      <w:adjustRightInd w:val="0"/>
      <w:snapToGrid w:val="0"/>
      <w:ind w:firstLineChars="200" w:firstLine="480"/>
    </w:pPr>
    <w:rPr>
      <w:rFonts w:ascii="仿宋_GB2312" w:eastAsia="仿宋_GB2312" w:hAnsi="宋体" w:cs="Arial"/>
      <w:color w:val="000000"/>
      <w:sz w:val="24"/>
    </w:rPr>
  </w:style>
  <w:style w:type="paragraph" w:styleId="TOC2">
    <w:name w:val="toc 2"/>
    <w:basedOn w:val="a"/>
    <w:next w:val="a"/>
    <w:uiPriority w:val="39"/>
    <w:qFormat/>
    <w:pPr>
      <w:tabs>
        <w:tab w:val="right" w:leader="dot" w:pos="8494"/>
      </w:tabs>
      <w:spacing w:line="360" w:lineRule="auto"/>
      <w:ind w:leftChars="200" w:left="420"/>
    </w:pPr>
  </w:style>
  <w:style w:type="paragraph" w:styleId="TOC9">
    <w:name w:val="toc 9"/>
    <w:basedOn w:val="a"/>
    <w:next w:val="a"/>
    <w:semiHidden/>
    <w:qFormat/>
    <w:pPr>
      <w:ind w:leftChars="1600" w:left="3360"/>
    </w:pPr>
  </w:style>
  <w:style w:type="paragraph" w:styleId="HTML">
    <w:name w:val="HTML Preformatted"/>
    <w:basedOn w:val="a"/>
    <w:link w:val="HTML0"/>
    <w:unhideWhenUsed/>
    <w:qFormat/>
    <w:rPr>
      <w:rFonts w:ascii="Courier New" w:hAnsi="Courier New"/>
      <w:sz w:val="20"/>
      <w:szCs w:val="20"/>
    </w:rPr>
  </w:style>
  <w:style w:type="paragraph" w:styleId="af2">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f3">
    <w:name w:val="Title"/>
    <w:basedOn w:val="a"/>
    <w:link w:val="af4"/>
    <w:qFormat/>
    <w:pPr>
      <w:spacing w:before="240" w:after="60"/>
      <w:jc w:val="center"/>
      <w:outlineLvl w:val="0"/>
    </w:pPr>
    <w:rPr>
      <w:rFonts w:ascii="Arial" w:hAnsi="Arial"/>
      <w:b/>
      <w:bCs/>
      <w:sz w:val="32"/>
      <w:szCs w:val="32"/>
    </w:rPr>
  </w:style>
  <w:style w:type="character" w:styleId="af5">
    <w:name w:val="Strong"/>
    <w:qFormat/>
    <w:rPr>
      <w:b/>
      <w:bCs/>
    </w:rPr>
  </w:style>
  <w:style w:type="character" w:styleId="af6">
    <w:name w:val="page number"/>
    <w:basedOn w:val="a1"/>
    <w:qFormat/>
  </w:style>
  <w:style w:type="character" w:styleId="af7">
    <w:name w:val="FollowedHyperlink"/>
    <w:unhideWhenUsed/>
    <w:qFormat/>
    <w:rPr>
      <w:color w:val="954F72"/>
      <w:u w:val="single"/>
    </w:rPr>
  </w:style>
  <w:style w:type="character" w:styleId="af8">
    <w:name w:val="Hyperlink"/>
    <w:uiPriority w:val="99"/>
    <w:qFormat/>
    <w:rPr>
      <w:color w:val="0000FF"/>
      <w:u w:val="single"/>
    </w:rPr>
  </w:style>
  <w:style w:type="character" w:styleId="af9">
    <w:name w:val="annotation reference"/>
    <w:qFormat/>
    <w:rPr>
      <w:sz w:val="21"/>
      <w:szCs w:val="21"/>
    </w:rPr>
  </w:style>
  <w:style w:type="character" w:customStyle="1" w:styleId="a6">
    <w:name w:val="批注文字 字符"/>
    <w:link w:val="a5"/>
    <w:qFormat/>
    <w:rPr>
      <w:kern w:val="2"/>
      <w:sz w:val="21"/>
      <w:szCs w:val="24"/>
    </w:rPr>
  </w:style>
  <w:style w:type="character" w:customStyle="1" w:styleId="Char1">
    <w:name w:val="纯文本 Char1"/>
    <w:semiHidden/>
    <w:qFormat/>
    <w:rPr>
      <w:rFonts w:ascii="宋体" w:hAnsi="Courier New" w:cs="Courier New"/>
      <w:kern w:val="2"/>
      <w:sz w:val="21"/>
      <w:szCs w:val="21"/>
    </w:rPr>
  </w:style>
  <w:style w:type="character" w:customStyle="1" w:styleId="af">
    <w:name w:val="页脚 字符"/>
    <w:link w:val="ae"/>
    <w:uiPriority w:val="99"/>
    <w:qFormat/>
    <w:rPr>
      <w:kern w:val="2"/>
      <w:sz w:val="18"/>
      <w:szCs w:val="18"/>
    </w:rPr>
  </w:style>
  <w:style w:type="character" w:customStyle="1" w:styleId="10">
    <w:name w:val="标题 1 字符"/>
    <w:link w:val="1"/>
    <w:qFormat/>
    <w:rPr>
      <w:b/>
      <w:bCs/>
      <w:kern w:val="44"/>
      <w:sz w:val="44"/>
      <w:szCs w:val="44"/>
    </w:rPr>
  </w:style>
  <w:style w:type="character" w:customStyle="1" w:styleId="af1">
    <w:name w:val="页眉 字符"/>
    <w:link w:val="af0"/>
    <w:uiPriority w:val="99"/>
    <w:qFormat/>
    <w:rPr>
      <w:kern w:val="2"/>
      <w:sz w:val="18"/>
      <w:szCs w:val="18"/>
    </w:rPr>
  </w:style>
  <w:style w:type="character" w:customStyle="1" w:styleId="af4">
    <w:name w:val="标题 字符"/>
    <w:link w:val="af3"/>
    <w:qFormat/>
    <w:rPr>
      <w:rFonts w:ascii="Arial" w:hAnsi="Arial" w:cs="Arial"/>
      <w:b/>
      <w:bCs/>
      <w:kern w:val="2"/>
      <w:sz w:val="32"/>
      <w:szCs w:val="32"/>
    </w:rPr>
  </w:style>
  <w:style w:type="character" w:customStyle="1" w:styleId="HTML0">
    <w:name w:val="HTML 预设格式 字符"/>
    <w:link w:val="HTML"/>
    <w:semiHidden/>
    <w:qFormat/>
    <w:rPr>
      <w:rFonts w:ascii="Courier New" w:hAnsi="Courier New" w:cs="Courier New"/>
      <w:kern w:val="2"/>
    </w:rPr>
  </w:style>
  <w:style w:type="character" w:customStyle="1" w:styleId="11">
    <w:name w:val="已访问的超链接1"/>
    <w:qFormat/>
    <w:rPr>
      <w:color w:val="800080"/>
      <w:u w:val="single"/>
    </w:rPr>
  </w:style>
  <w:style w:type="character" w:customStyle="1" w:styleId="read">
    <w:name w:val="read"/>
    <w:basedOn w:val="a1"/>
    <w:qFormat/>
  </w:style>
  <w:style w:type="character" w:customStyle="1" w:styleId="ac">
    <w:name w:val="纯文本 字符"/>
    <w:link w:val="ab"/>
    <w:qFormat/>
    <w:rPr>
      <w:rFonts w:ascii="宋体" w:hAnsi="Courier New"/>
      <w:kern w:val="2"/>
      <w:sz w:val="21"/>
    </w:rPr>
  </w:style>
  <w:style w:type="paragraph" w:customStyle="1" w:styleId="Char">
    <w:name w:val="Char"/>
    <w:basedOn w:val="a"/>
    <w:qFormat/>
  </w:style>
  <w:style w:type="paragraph" w:customStyle="1" w:styleId="Char10">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qFormat/>
  </w:style>
  <w:style w:type="paragraph" w:customStyle="1" w:styleId="Char3">
    <w:name w:val="Char3"/>
    <w:basedOn w:val="a"/>
    <w:qFormat/>
  </w:style>
  <w:style w:type="paragraph" w:customStyle="1" w:styleId="Char2">
    <w:name w:val="Char2"/>
    <w:basedOn w:val="a"/>
    <w:qFormat/>
  </w:style>
  <w:style w:type="paragraph" w:customStyle="1" w:styleId="12">
    <w:name w:val="修订1"/>
    <w:uiPriority w:val="99"/>
    <w:semiHidden/>
    <w:qFormat/>
    <w:rPr>
      <w:rFonts w:ascii="Calibri" w:hAnsi="Calibri"/>
      <w:kern w:val="2"/>
      <w:sz w:val="21"/>
      <w:szCs w:val="24"/>
    </w:rPr>
  </w:style>
  <w:style w:type="paragraph" w:customStyle="1" w:styleId="Style48">
    <w:name w:val="_Style 48"/>
    <w:qFormat/>
    <w:pPr>
      <w:widowControl w:val="0"/>
      <w:jc w:val="both"/>
    </w:pPr>
    <w:rPr>
      <w:rFonts w:ascii="Calibri" w:hAnsi="Calibri"/>
      <w:kern w:val="2"/>
      <w:sz w:val="21"/>
      <w:szCs w:val="24"/>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Default">
    <w:name w:val="Default"/>
    <w:qFormat/>
    <w:pPr>
      <w:widowControl w:val="0"/>
      <w:autoSpaceDE w:val="0"/>
      <w:autoSpaceDN w:val="0"/>
      <w:adjustRightInd w:val="0"/>
    </w:pPr>
    <w:rPr>
      <w:rFonts w:ascii="宋体" w:hAnsi="Calibri"/>
      <w:color w:val="000000"/>
      <w:sz w:val="24"/>
      <w:szCs w:val="24"/>
    </w:rPr>
  </w:style>
  <w:style w:type="paragraph" w:customStyle="1" w:styleId="Char11">
    <w:name w:val="Char11"/>
    <w:basedOn w:val="a"/>
    <w:qFormat/>
    <w:pPr>
      <w:tabs>
        <w:tab w:val="left" w:pos="832"/>
      </w:tabs>
      <w:ind w:left="832" w:hanging="420"/>
      <w:jc w:val="center"/>
    </w:pPr>
    <w:rPr>
      <w:rFonts w:ascii="楷体_GB2312" w:eastAsia="楷体_GB2312"/>
      <w:b/>
      <w:color w:val="000080"/>
      <w:sz w:val="30"/>
      <w:szCs w:val="30"/>
    </w:rPr>
  </w:style>
  <w:style w:type="paragraph" w:customStyle="1" w:styleId="110">
    <w:name w:val="修订11"/>
    <w:uiPriority w:val="99"/>
    <w:semiHidden/>
    <w:qFormat/>
    <w:rPr>
      <w:rFonts w:ascii="Calibri" w:hAnsi="Calibri"/>
      <w:kern w:val="2"/>
      <w:sz w:val="21"/>
      <w:szCs w:val="24"/>
    </w:rPr>
  </w:style>
  <w:style w:type="paragraph" w:customStyle="1" w:styleId="CharCharCharCharCharCharChar">
    <w:name w:val="Char Char Char Char Char Char Char"/>
    <w:basedOn w:val="a"/>
    <w:qFormat/>
  </w:style>
  <w:style w:type="paragraph" w:customStyle="1" w:styleId="21">
    <w:name w:val="修订2"/>
    <w:hidden/>
    <w:uiPriority w:val="99"/>
    <w:semiHidden/>
    <w:qFormat/>
    <w:rPr>
      <w:rFonts w:ascii="Calibri" w:hAnsi="Calibri"/>
      <w:kern w:val="2"/>
      <w:sz w:val="21"/>
      <w:szCs w:val="24"/>
    </w:rPr>
  </w:style>
  <w:style w:type="character" w:customStyle="1" w:styleId="a9">
    <w:name w:val="正文文本 字符"/>
    <w:basedOn w:val="a1"/>
    <w:link w:val="a8"/>
    <w:qFormat/>
    <w:rPr>
      <w:rFonts w:ascii="宋体" w:eastAsia="宋体" w:hAnsi="宋体" w:cs="宋体" w:hint="eastAsia"/>
      <w:sz w:val="24"/>
      <w:szCs w:val="24"/>
      <w:lang w:val="zh-CN" w:bidi="zh-CN"/>
    </w:rPr>
  </w:style>
  <w:style w:type="paragraph" w:customStyle="1" w:styleId="Normal1">
    <w:name w:val="Normal1"/>
    <w:qFormat/>
    <w:pPr>
      <w:widowControl w:val="0"/>
      <w:jc w:val="both"/>
    </w:pPr>
    <w:rPr>
      <w:rFonts w:ascii="Calibri" w:hAnsi="Calibri"/>
      <w:kern w:val="2"/>
      <w:sz w:val="21"/>
      <w:szCs w:val="21"/>
    </w:rPr>
  </w:style>
  <w:style w:type="paragraph" w:customStyle="1" w:styleId="30">
    <w:name w:val="修订3"/>
    <w:hidden/>
    <w:uiPriority w:val="99"/>
    <w:semiHidden/>
    <w:qFormat/>
    <w:rPr>
      <w:rFonts w:ascii="Calibri" w:hAnsi="Calibri"/>
      <w:kern w:val="2"/>
      <w:sz w:val="21"/>
      <w:szCs w:val="24"/>
    </w:rPr>
  </w:style>
  <w:style w:type="paragraph" w:customStyle="1" w:styleId="4">
    <w:name w:val="修订4"/>
    <w:hidden/>
    <w:uiPriority w:val="99"/>
    <w:semiHidden/>
    <w:qFormat/>
    <w:rPr>
      <w:rFonts w:ascii="Calibri" w:hAnsi="Calibri"/>
      <w:kern w:val="2"/>
      <w:sz w:val="21"/>
      <w:szCs w:val="24"/>
    </w:rPr>
  </w:style>
  <w:style w:type="paragraph" w:customStyle="1" w:styleId="5">
    <w:name w:val="修订5"/>
    <w:hidden/>
    <w:uiPriority w:val="99"/>
    <w:semiHidden/>
    <w:qFormat/>
    <w:rPr>
      <w:rFonts w:ascii="Calibri" w:hAnsi="Calibri"/>
      <w:kern w:val="2"/>
      <w:sz w:val="21"/>
      <w:szCs w:val="24"/>
    </w:rPr>
  </w:style>
  <w:style w:type="paragraph" w:styleId="afa">
    <w:name w:val="Revision"/>
    <w:hidden/>
    <w:uiPriority w:val="99"/>
    <w:semiHidden/>
    <w:rsid w:val="00CB1710"/>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E09409-B709-4525-AE06-4172E2853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45</Pages>
  <Words>4051</Words>
  <Characters>23091</Characters>
  <Application>Microsoft Office Word</Application>
  <DocSecurity>0</DocSecurity>
  <Lines>192</Lines>
  <Paragraphs>54</Paragraphs>
  <ScaleCrop>false</ScaleCrop>
  <Company>Microsoft</Company>
  <LinksUpToDate>false</LinksUpToDate>
  <CharactersWithSpaces>27088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周子力</dc:creator>
  <cp:lastModifiedBy>王阳</cp:lastModifiedBy>
  <cp:revision>12</cp:revision>
  <cp:lastPrinted>2020-11-25T08:28:00Z</cp:lastPrinted>
  <dcterms:created xsi:type="dcterms:W3CDTF">2022-08-30T07:39:00Z</dcterms:created>
  <dcterms:modified xsi:type="dcterms:W3CDTF">2022-11-07T02:09:00Z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ractId">
    <vt:lpwstr>b21d89c93a55417f9fd0f1e367601d7f</vt:lpwstr>
  </property>
  <property fmtid="{D5CDD505-2E9C-101B-9397-08002B2CF9AE}" pid="3" name="verificationId">
    <vt:lpwstr>a31d325e49cafcc5</vt:lpwstr>
  </property>
  <property fmtid="{D5CDD505-2E9C-101B-9397-08002B2CF9AE}" pid="4" name="KSOProductBuildVer">
    <vt:lpwstr>2052-10.8.0.6470</vt:lpwstr>
  </property>
  <property fmtid="{D5CDD505-2E9C-101B-9397-08002B2CF9AE}" pid="5" name="ICV">
    <vt:lpwstr>927AC7B1CCBD4A3EAAA0B35517808AB9</vt:lpwstr>
  </property>
</Properties>
</file>